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5276"/>
          <w:sz w:val="72"/>
          <w:szCs w:val="72"/>
        </w:rPr>
        <w:t xml:space="preserve">NouveauCap</w:t>
      </w:r>
    </w:p>
    <w:p>
      <w:pPr>
        <w:spacing w:after="200"/>
        <w:jc w:val="center"/>
      </w:pPr>
      <w:r>
        <w:rPr>
          <w:rFonts w:ascii="Arial" w:cs="Arial" w:eastAsia="Arial" w:hAnsi="Arial"/>
          <w:color w:val="21618C"/>
          <w:sz w:val="40"/>
          <w:szCs w:val="40"/>
        </w:rPr>
        <w:t xml:space="preserve">Cahier des Charges Produit (PRD)</w:t>
      </w:r>
    </w:p>
    <w:p>
      <w:pPr>
        <w:spacing w:after="120"/>
        <w:jc w:val="center"/>
      </w:pPr>
      <w:r>
        <w:rPr>
          <w:rFonts w:ascii="Arial" w:cs="Arial" w:eastAsia="Arial" w:hAnsi="Arial"/>
          <w:i/>
          <w:iCs/>
          <w:color w:val="5D6D7E"/>
          <w:sz w:val="26"/>
          <w:szCs w:val="26"/>
        </w:rPr>
        <w:t xml:space="preserve">La plateforme tout-en-un pour les nouveaux immigrants au Canada</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Version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1.0 — Février 2025</w:t>
            </w:r>
          </w:p>
        </w:tc>
      </w:tr>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Statut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Confidentiel — Interne</w:t>
            </w:r>
          </w:p>
        </w:tc>
      </w:tr>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Marché cible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Canada</w:t>
            </w:r>
          </w:p>
        </w:tc>
      </w:tr>
    </w:tbl>
    <w:p>
      <w:pPr>
        <w:spacing w:before="400"/>
      </w:pPr>
      <w:r>
        <w:br w:type="page"/>
      </w:r>
    </w:p>
    <w:p>
      <w:pPr>
        <w:pStyle w:val="Heading1"/>
      </w:pPr>
      <w:r>
        <w:t xml:space="preserve">1. Résumé Exécutif</w:t>
      </w:r>
    </w:p>
    <w:p>
      <w:pPr>
        <w:spacing w:after="120"/>
      </w:pPr>
      <w:r>
        <w:t xml:space="preserve">NouveauCap est une plateforme SaaS B2C dédiée aux nouveaux immigrants au Canada — résidents permanents, étudiants étrangers, travailleurs temporaires (permis ouvert et fermé). Elle centralise l'ensemble des démarches administratives, professionnelles et sociales liées à l'installation dans un nouveau pays, dans une expérience fluide, personnalisée et multilingue.</w:t>
      </w:r>
    </w:p>
    <w:p>
      <w:r>
        <w:t xml:space="preserve"/>
      </w:r>
    </w:p>
    <w:p>
      <w:pPr>
        <w:spacing w:after="120"/>
      </w:pPr>
      <w:r>
        <w:t xml:space="preserve">Le Canada accueille plus de 400 000 nouveaux résidents permanents par an, auxquels s'ajoutent plus de 800 000 permis d'études et de travail actifs. Ces populations font face à une fragmentation extrême de l'information, à des barrières linguistiques et culturelles significatives, et à un manque d'accompagnement structuré dans leurs premières années. NouveauCap répond à ce besoin critique avec une solution complète, accessible et évolutive.</w:t>
      </w:r>
    </w:p>
    <w:p>
      <w:r>
        <w:t xml:space="preserve"/>
      </w:r>
    </w:p>
    <w:p>
      <w:pPr>
        <w:spacing w:after="200"/>
      </w:pPr>
      <w:r>
        <w:rPr>
          <w:b/>
          <w:bCs/>
        </w:rPr>
        <w:t xml:space="preserve">Proposition de valeur clé : </w:t>
      </w:r>
      <w:r>
        <w:t xml:space="preserve">Un seul endroit pour tout gérer — immigration, emploi, logement, santé, finances, culture — adapté à chaque statut d'immigration et chaque province.</w:t>
      </w:r>
    </w:p>
    <w:p>
      <w:pPr>
        <w:pStyle w:val="Heading2"/>
      </w:pPr>
      <w:r>
        <w:t xml:space="preserve">Métriques cibles à 18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Utilisateurs actifs mensuels (MAU)</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50 000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Taux de rétention à 6 mois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&gt; 65%</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Net Promoter Score (NPS)</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&gt; 50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Taux de conversion Freemium → Premium</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&gt; 18%</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Revenu Mensuel Récurrent (MRR)</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500 000 CAD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Partenaires institutionnels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30+ (universités, employeurs, gouvernements)</w:t>
            </w:r>
          </w:p>
        </w:tc>
      </w:tr>
    </w:tbl>
    <w:p>
      <w:pPr>
        <w:spacing w:before="400"/>
      </w:pPr>
      <w:r>
        <w:br w:type="page"/>
      </w:r>
    </w:p>
    <w:p>
      <w:pPr>
        <w:pStyle w:val="Heading1"/>
      </w:pPr>
      <w:r>
        <w:t xml:space="preserve">2. Contexte et Problème</w:t>
      </w:r>
    </w:p>
    <w:p>
      <w:pPr>
        <w:pStyle w:val="Heading2"/>
      </w:pPr>
      <w:r>
        <w:t xml:space="preserve">2.1 Contexte du marché</w:t>
      </w:r>
    </w:p>
    <w:p>
      <w:pPr>
        <w:spacing w:after="120"/>
      </w:pPr>
      <w:r>
        <w:t xml:space="preserve">Le Canada est l'un des pays qui accueille le plus d'immigrants au monde. En 2023, le gouvernement fédéral a admis 471 550 résidents permanents — un record historique. La cible est maintenue à 485 000 pour 2024 et 500 000 pour 2025. En parallèle, le nombre de permis d'études actifs dépasse 1 million et les permis de travail temporaires représentent un bassin de plusieurs centaines de milliers de personnes.</w:t>
      </w:r>
    </w:p>
    <w:p>
      <w:r>
        <w:t xml:space="preserve"/>
      </w:r>
    </w:p>
    <w:p>
      <w:pPr>
        <w:spacing w:after="120"/>
      </w:pPr>
      <w:r>
        <w:t xml:space="preserve">Ce flux massif crée un besoin structurel en services d'accompagnement à l'intégration. Malgré des programmes gouvernementaux existants (IRCC, Entrée Express, provinciaux), l'expérience des nouveaux arrivants reste fragmentée, stressante et souvent coûteuse en temps et en argent.</w:t>
      </w:r>
    </w:p>
    <w:p>
      <w:pPr>
        <w:pStyle w:val="Heading2"/>
      </w:pPr>
      <w:r>
        <w:t xml:space="preserve">2.2 Les problèmes identifiés</w:t>
      </w:r>
    </w:p>
    <w:p>
      <w:pPr>
        <w:pStyle w:val="Heading3"/>
      </w:pPr>
      <w:r>
        <w:t xml:space="preserve">Fragmentation de l'information</w:t>
      </w:r>
    </w:p>
    <w:p>
      <w:pPr>
        <w:spacing w:after="120"/>
      </w:pPr>
      <w:r>
        <w:t xml:space="preserve">L'information est éparpillée sur des dizaines de sites gouvernementaux, forums, groupes Facebook et Discord. Un immigrant doit naviguer entre les portails fédéraux (IRCC, CRA, Service Canada), provinciaux (Revenu Québec, ServiceOntario, etc.) et municipaux, sans guide centralisé.</w:t>
      </w:r>
    </w:p>
    <w:p>
      <w:pPr>
        <w:pStyle w:val="Heading3"/>
      </w:pPr>
      <w:r>
        <w:t xml:space="preserve">Barrières linguistiques</w:t>
      </w:r>
    </w:p>
    <w:p>
      <w:pPr>
        <w:spacing w:after="120"/>
      </w:pPr>
      <w:r>
        <w:t xml:space="preserve">Bien que le Canada soit officiellement bilingue (français/anglais), de nombreux immigrants n'ont pas une maîtrise suffisante de l'une ou l'autre langue pour comprendre des formulaires administratifs complexes. Les ressources en langues d'origine (espagnol, mandarin, hindi, tagalog, arabe, etc.) sont rares et souvent incomplètes.</w:t>
      </w:r>
    </w:p>
    <w:p>
      <w:pPr>
        <w:pStyle w:val="Heading3"/>
      </w:pPr>
      <w:r>
        <w:t xml:space="preserve">Méconnaissance des droits et obligations selon le statut</w:t>
      </w:r>
    </w:p>
    <w:p>
      <w:pPr>
        <w:spacing w:after="120"/>
      </w:pPr>
      <w:r>
        <w:t xml:space="preserve">Un résident permanent, un étudiant étranger et un travailleur temporaire ont des droits, des obligations et des délais très différents. Cette méconnaissance engendre des erreurs aux conséquences graves : perte du statut, amendes, refus de renouvellement.</w:t>
      </w:r>
    </w:p>
    <w:p>
      <w:pPr>
        <w:pStyle w:val="Heading3"/>
      </w:pPr>
      <w:r>
        <w:t xml:space="preserve">Manque d'accompagnement professionnel localisé</w:t>
      </w:r>
    </w:p>
    <w:p>
      <w:pPr>
        <w:spacing w:after="120"/>
      </w:pPr>
      <w:r>
        <w:t xml:space="preserve">La reconnaissance des diplômes étrangers, la recherche d'un premier emploi au Canada, la compréhension du marché local du travail représentent des obstacles majeurs. Les services d'aide à l'emploi existants sont souvent associés à des OSBL sous-financés avec de longues listes d'attente.</w:t>
      </w:r>
    </w:p>
    <w:p>
      <w:pPr>
        <w:pStyle w:val="Heading3"/>
      </w:pPr>
      <w:r>
        <w:t xml:space="preserve">Difficultés d'accès au logement et aux services financiers</w:t>
      </w:r>
    </w:p>
    <w:p>
      <w:pPr>
        <w:spacing w:after="120"/>
      </w:pPr>
      <w:r>
        <w:t xml:space="preserve">Sans historique de crédit canadien, sans lettres de référence locales, sans compte bancaire établi, les nouveaux arrivants peinent à accéder à un logement, à une carte de crédit ou à des prêts. La discrimination est aussi un facteur documenté.</w:t>
      </w:r>
    </w:p>
    <w:p>
      <w:pPr>
        <w:spacing w:before="400"/>
      </w:pPr>
      <w:r>
        <w:br w:type="page"/>
      </w:r>
    </w:p>
    <w:p>
      <w:pPr>
        <w:pStyle w:val="Heading1"/>
      </w:pPr>
      <w:r>
        <w:t xml:space="preserve">3. Personas Utilisateurs</w:t>
      </w:r>
    </w:p>
    <w:p>
      <w:pPr>
        <w:spacing w:after="120"/>
      </w:pPr>
      <w:r>
        <w:t xml:space="preserve">NouveauCap cible quatre profils distincts avec des besoins différenciés mais des chevauchements significatifs.</w:t>
      </w:r>
    </w:p>
    <w:p>
      <w:r>
        <w:t xml:space="preserve"/>
      </w:r>
    </w:p>
    <w:p>
      <w:pPr>
        <w:pStyle w:val="Heading2"/>
      </w:pPr>
      <w:r>
        <w:t xml:space="preserve">Persona 1 — Le Résident Permanent Nouvellement Arrivé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Prénom fictif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Amara D. — 34 ans, originaire du Sénégal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Statut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Résidente permanente depuis 3 mois (via Entrée Express)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Situation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Ingénieure en télécommunications, cherche un emploi dans son domaine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Province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Ontario (Toronto)</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Besoins principaux</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Reconnaissance de diplôme, NAS, RAMU, SIN, construction du crédit, garde d'enfants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Frustrations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Ne sait pas par où commencer, peur de faire des erreurs irréparables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Valeur perçue du produit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Checklist personnalisée, guides étape par étape, communauté francophone</w:t>
            </w:r>
          </w:p>
        </w:tc>
      </w:tr>
    </w:tbl>
    <w:p>
      <w:r>
        <w:t xml:space="preserve"/>
      </w:r>
    </w:p>
    <w:p>
      <w:pPr>
        <w:pStyle w:val="Heading2"/>
      </w:pPr>
      <w:r>
        <w:t xml:space="preserve">Persona 2 — L'Étudiant Étranger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Prénom fictif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Lucas M. — 22 ans, originaire du Brésil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Statut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Permis d'études, University of British Columbia (UBC)</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Situation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1ère année de maîtrise, veut travailler à temps partiel (max 24h/semaine hors campus)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Province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Colombie-Britannique (Vancouver)</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Besoins principaux</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Comprendre les droits de travail, trouver un emploi étudiant, logement, impôts T4</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Frustrations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Règles de travail complexes, peur de violer son permis, coût de la vie élevé</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Valeur perçue du produit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Simulateur de statut, alertes réglementaires, guide d'impôts simplifié</w:t>
            </w:r>
          </w:p>
        </w:tc>
      </w:tr>
    </w:tbl>
    <w:p>
      <w:r>
        <w:t xml:space="preserve"/>
      </w:r>
    </w:p>
    <w:p>
      <w:pPr>
        <w:pStyle w:val="Heading2"/>
      </w:pPr>
      <w:r>
        <w:t xml:space="preserve">Persona 3 — Le Travailleur Temporaire (Permis Ouvert)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Prénom fictif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Mei L. — 29 ans, originaire de Chine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Statut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Permis de travail post-diplôme (PGWP) — Permis ouvert</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Situation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Diplômée d'une université canadienne, cherche un emploi dans son domaine (finance)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Province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Québec (Montréal)</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Besoins principaux</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Renouvellement de permis, chemin vers la RP, reconnaissance dans son domaine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Frustrations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Incertitude sur son chemin vers la résidence permanente, barrière du français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Valeur perçue du produit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Suivi du permis, simulateur de points CRS/PTAQ, rappels d'échéances</w:t>
            </w:r>
          </w:p>
        </w:tc>
      </w:tr>
    </w:tbl>
    <w:p>
      <w:r>
        <w:t xml:space="preserve"/>
      </w:r>
    </w:p>
    <w:p>
      <w:pPr>
        <w:pStyle w:val="Heading2"/>
      </w:pPr>
      <w:r>
        <w:t xml:space="preserve">Persona 4 — Le Travailleur Temporaire (Permis Fermé)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Prénom fictif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Raj P. — 38 ans, originaire de l'Inde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Statut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Permis de travail fermé (LMIA) — Programme des travailleurs agricoles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Situation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Travailleur saisonnier, Alberta, employeur unique autorisé</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Province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Alberta (région rurale)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Besoins principaux</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Comprendre ses droits, accès à la santé, envoi d'argent, renouvellement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Frustrations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Isolement, barrière linguistique (hindi), peu accès internet, dépendance à l'employeur</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Valeur perçue du produit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App mobile hors-ligne, support multilingue, protection des droits des travailleurs</w:t>
            </w:r>
          </w:p>
        </w:tc>
      </w:tr>
    </w:tbl>
    <w:p>
      <w:pPr>
        <w:spacing w:before="400"/>
      </w:pPr>
      <w:r>
        <w:br w:type="page"/>
      </w:r>
    </w:p>
    <w:p>
      <w:pPr>
        <w:pStyle w:val="Heading1"/>
      </w:pPr>
      <w:r>
        <w:t xml:space="preserve">4. Objectifs Produit</w:t>
      </w:r>
    </w:p>
    <w:p>
      <w:pPr>
        <w:pStyle w:val="Heading2"/>
      </w:pPr>
      <w:r>
        <w:t xml:space="preserve">4.1 Vision</w:t>
      </w:r>
    </w:p>
    <w:p>
      <w:pPr>
        <w:spacing w:after="160"/>
      </w:pPr>
      <w:r>
        <w:rPr>
          <w:i/>
          <w:iCs/>
          <w:color w:val="1A5276"/>
          <w:sz w:val="26"/>
          <w:szCs w:val="26"/>
        </w:rPr>
        <w:t xml:space="preserve">"Être le compagnon numérique indispensable de chaque immigrant au Canada, du premier jour jusqu'à la citoyenneté."</w:t>
      </w:r>
    </w:p>
    <w:p>
      <w:pPr>
        <w:pStyle w:val="Heading2"/>
      </w:pPr>
      <w:r>
        <w:t xml:space="preserve">4.2 Mission</w:t>
      </w:r>
    </w:p>
    <w:p>
      <w:pPr>
        <w:spacing w:after="120"/>
      </w:pPr>
      <w:r>
        <w:t xml:space="preserve">Réduire drastiquement la friction administrative, sociale et professionnelle vécue par les nouveaux arrivants au Canada, en leur offrant un accompagnement intelligent, personnalisé et accessible dans leur langue.</w:t>
      </w:r>
    </w:p>
    <w:p>
      <w:pPr>
        <w:pStyle w:val="Heading2"/>
      </w:pPr>
      <w:r>
        <w:t xml:space="preserve">4.3 Objectifs stratégiques</w:t>
      </w:r>
    </w:p>
    <w:p>
      <w:pPr>
        <w:pStyle w:val="ListParagraph"/>
        <w:numPr>
          <w:ilvl w:val="0"/>
          <w:numId w:val="2"/>
        </w:numPr>
        <w:spacing w:after="80"/>
      </w:pPr>
      <w:r>
        <w:t xml:space="preserve">Devenir la référence #1 pour l'accompagnement à l'intégration des immigrants au Canada d'ici 2027</w:t>
      </w:r>
    </w:p>
    <w:p>
      <w:pPr>
        <w:pStyle w:val="ListParagraph"/>
        <w:numPr>
          <w:ilvl w:val="0"/>
          <w:numId w:val="2"/>
        </w:numPr>
        <w:spacing w:after="80"/>
      </w:pPr>
      <w:r>
        <w:t xml:space="preserve">Atteindre 150 000 utilisateurs actifs à 3 ans</w:t>
      </w:r>
    </w:p>
    <w:p>
      <w:pPr>
        <w:pStyle w:val="ListParagraph"/>
        <w:numPr>
          <w:ilvl w:val="0"/>
          <w:numId w:val="2"/>
        </w:numPr>
        <w:spacing w:after="80"/>
      </w:pPr>
      <w:r>
        <w:t xml:space="preserve">Générer 5M CAD de MRR à 3 ans via un modèle freemium + B2B</w:t>
      </w:r>
    </w:p>
    <w:p>
      <w:pPr>
        <w:pStyle w:val="ListParagraph"/>
        <w:numPr>
          <w:ilvl w:val="0"/>
          <w:numId w:val="2"/>
        </w:numPr>
        <w:spacing w:after="80"/>
      </w:pPr>
      <w:r>
        <w:t xml:space="preserve">Établir des partenariats avec 50+ universités, employeurs et organismes gouvernementaux</w:t>
      </w:r>
    </w:p>
    <w:p>
      <w:pPr>
        <w:pStyle w:val="ListParagraph"/>
        <w:numPr>
          <w:ilvl w:val="0"/>
          <w:numId w:val="2"/>
        </w:numPr>
        <w:spacing w:after="80"/>
      </w:pPr>
      <w:r>
        <w:t xml:space="preserve">Être disponible dans au moins 10 langues pour 2026</w:t>
      </w:r>
    </w:p>
    <w:p>
      <w:r>
        <w:t xml:space="preserve"/>
      </w:r>
    </w:p>
    <w:p>
      <w:pPr>
        <w:pStyle w:val="Heading2"/>
      </w:pPr>
      <w:r>
        <w:t xml:space="preserve">4.4 Indicateurs de succès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KPI</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Définition</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Cible (18 mois)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MAU</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Utilisateurs actifs mensuels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50 000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DAU/MAU</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Ratio d'engagement quotidien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&gt; 35%</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Rétention D30</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Utilisateurs actifs après 30 jours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&gt; 55%</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Rétention M6</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Utilisateurs actifs après 6 mois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&gt; 40%</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CSAT</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Satisfaction client (1-5)</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&gt; 4.3/5</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NPS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Net Promoter Score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&gt; 50</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Conversion Freemium→Premium</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 upgrade</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&gt; 18%</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Coût d'acquisition (CAC)</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Coût moyen par utilisateur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&lt; 35 CAD</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LTV</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Valeur vie client</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&gt; 350 CAD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Ratio LTV/CAC</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Rentabilité unitaire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&gt; 10x</w:t>
            </w:r>
          </w:p>
        </w:tc>
      </w:tr>
    </w:tbl>
    <w:p>
      <w:pPr>
        <w:spacing w:before="400"/>
      </w:pPr>
      <w:r>
        <w:br w:type="page"/>
      </w:r>
    </w:p>
    <w:p>
      <w:pPr>
        <w:pStyle w:val="Heading1"/>
      </w:pPr>
      <w:r>
        <w:t xml:space="preserve">5. Fonctionnalités du Produit</w:t>
      </w:r>
    </w:p>
    <w:p>
      <w:pPr>
        <w:spacing w:after="120"/>
      </w:pPr>
      <w:r>
        <w:t xml:space="preserve">Les fonctionnalités sont regroupées en 7 modules thématiques. Chaque module est accessible selon le statut d'immigration de l'utilisateur, avec une expérience personnalisée.</w:t>
      </w:r>
    </w:p>
    <w:p>
      <w:r>
        <w:t xml:space="preserve"/>
      </w:r>
    </w:p>
    <w:p>
      <w:pPr>
        <w:pStyle w:val="Heading2"/>
      </w:pPr>
      <w:r>
        <w:t xml:space="preserve">Module 1 — Onboarding &amp; Profil Adaptatif</w:t>
      </w:r>
    </w:p>
    <w:p>
      <w:pPr>
        <w:spacing w:after="120"/>
      </w:pPr>
      <w:r>
        <w:t xml:space="preserve">Le cœur de NouveauCap est son système de profilage intelligent qui personnalise l'ensemble de l'expérience dès la première connexion.</w:t>
      </w:r>
    </w:p>
    <w:p>
      <w:r>
        <w:t xml:space="preserve"/>
      </w:r>
    </w:p>
    <w:p>
      <w:pPr>
        <w:pStyle w:val="ListParagraph"/>
        <w:numPr>
          <w:ilvl w:val="0"/>
          <w:numId w:val="2"/>
        </w:numPr>
        <w:spacing w:after="80"/>
      </w:pPr>
      <w:r>
        <w:t xml:space="preserve">Questionnaire d'onboarding en 5-7 étapes (statut, province, date d'arrivée, secteur, langue, situation familiale)</w:t>
      </w:r>
    </w:p>
    <w:p>
      <w:pPr>
        <w:pStyle w:val="ListParagraph"/>
        <w:numPr>
          <w:ilvl w:val="0"/>
          <w:numId w:val="2"/>
        </w:numPr>
        <w:spacing w:after="80"/>
      </w:pPr>
      <w:r>
        <w:t xml:space="preserve">Génération automatique d'un plan d'action personnalisé (checklist dynamique)</w:t>
      </w:r>
    </w:p>
    <w:p>
      <w:pPr>
        <w:pStyle w:val="ListParagraph"/>
        <w:numPr>
          <w:ilvl w:val="0"/>
          <w:numId w:val="2"/>
        </w:numPr>
        <w:spacing w:after="80"/>
      </w:pPr>
      <w:r>
        <w:t xml:space="preserve">Tableau de bord adaptatif avec progression visuelle</w:t>
      </w:r>
    </w:p>
    <w:p>
      <w:pPr>
        <w:pStyle w:val="ListParagraph"/>
        <w:numPr>
          <w:ilvl w:val="0"/>
          <w:numId w:val="2"/>
        </w:numPr>
        <w:spacing w:after="80"/>
      </w:pPr>
      <w:r>
        <w:t xml:space="preserve">Notifications intelligentes basées sur les délais légaux du profil</w:t>
      </w:r>
    </w:p>
    <w:p>
      <w:pPr>
        <w:pStyle w:val="ListParagraph"/>
        <w:numPr>
          <w:ilvl w:val="0"/>
          <w:numId w:val="2"/>
        </w:numPr>
        <w:spacing w:after="80"/>
      </w:pPr>
      <w:r>
        <w:t xml:space="preserve">Synchronisation avec les profils gouvernementaux (IRCC, MyCRA) via API sécurisées — Phase 2</w:t>
      </w:r>
    </w:p>
    <w:p>
      <w:r>
        <w:t xml:space="preserve"/>
      </w:r>
    </w:p>
    <w:p>
      <w:pPr>
        <w:pStyle w:val="Heading2"/>
      </w:pPr>
      <w:r>
        <w:t xml:space="preserve">Module 2 — Immigration &amp; Statut Légal</w:t>
      </w:r>
    </w:p>
    <w:p>
      <w:pPr>
        <w:spacing w:after="120"/>
      </w:pPr>
      <w:r>
        <w:t xml:space="preserve">Ce module accompagne l'utilisateur dans la compréhension et la gestion de son statut d'immigration.</w:t>
      </w:r>
    </w:p>
    <w:p>
      <w:r>
        <w:t xml:space="preserve"/>
      </w:r>
    </w:p>
    <w:p>
      <w:pPr>
        <w:pStyle w:val="Heading3"/>
      </w:pPr>
      <w:r>
        <w:t xml:space="preserve">Sous-module : Résidents Permanents</w:t>
      </w:r>
    </w:p>
    <w:p>
      <w:pPr>
        <w:pStyle w:val="ListParagraph"/>
        <w:numPr>
          <w:ilvl w:val="0"/>
          <w:numId w:val="2"/>
        </w:numPr>
        <w:spacing w:after="80"/>
      </w:pPr>
      <w:r>
        <w:t xml:space="preserve">Guide d'activation de la RP (obtention de la carte RP, NAS, RAMQ/OHIP, passeport si applicable)</w:t>
      </w:r>
    </w:p>
    <w:p>
      <w:pPr>
        <w:pStyle w:val="ListParagraph"/>
        <w:numPr>
          <w:ilvl w:val="0"/>
          <w:numId w:val="2"/>
        </w:numPr>
        <w:spacing w:after="80"/>
      </w:pPr>
      <w:r>
        <w:t xml:space="preserve">Suivi de la demande de citoyenneté (délais, exigences, test de citoyenneté)</w:t>
      </w:r>
    </w:p>
    <w:p>
      <w:pPr>
        <w:pStyle w:val="ListParagraph"/>
        <w:numPr>
          <w:ilvl w:val="0"/>
          <w:numId w:val="2"/>
        </w:numPr>
        <w:spacing w:after="80"/>
      </w:pPr>
      <w:r>
        <w:t xml:space="preserve">Simulateur d'admissibilité à la citoyenneté (jours de présence, obligations)</w:t>
      </w:r>
    </w:p>
    <w:p>
      <w:r>
        <w:t xml:space="preserve"/>
      </w:r>
    </w:p>
    <w:p>
      <w:pPr>
        <w:pStyle w:val="Heading3"/>
      </w:pPr>
      <w:r>
        <w:t xml:space="preserve">Sous-module : Étudiants Étrangers</w:t>
      </w:r>
    </w:p>
    <w:p>
      <w:pPr>
        <w:pStyle w:val="ListParagraph"/>
        <w:numPr>
          <w:ilvl w:val="0"/>
          <w:numId w:val="2"/>
        </w:numPr>
        <w:spacing w:after="80"/>
      </w:pPr>
      <w:r>
        <w:t xml:space="preserve">Suivi du permis d'études avec alerte de renouvellement (90 jours avant expiration)</w:t>
      </w:r>
    </w:p>
    <w:p>
      <w:pPr>
        <w:pStyle w:val="ListParagraph"/>
        <w:numPr>
          <w:ilvl w:val="0"/>
          <w:numId w:val="2"/>
        </w:numPr>
        <w:spacing w:after="80"/>
      </w:pPr>
      <w:r>
        <w:t xml:space="preserve">Guide des droits de travail : hors campus (24h/sem depuis le 21 avril 2024), coop/stage, PGWP</w:t>
      </w:r>
    </w:p>
    <w:p>
      <w:pPr>
        <w:pStyle w:val="ListParagraph"/>
        <w:numPr>
          <w:ilvl w:val="0"/>
          <w:numId w:val="2"/>
        </w:numPr>
        <w:spacing w:after="80"/>
      </w:pPr>
      <w:r>
        <w:t xml:space="preserve">Simulateur d'éligibilité au PGWP (durée programme, institution DLI, résidence)</w:t>
      </w:r>
    </w:p>
    <w:p>
      <w:pPr>
        <w:pStyle w:val="ListParagraph"/>
        <w:numPr>
          <w:ilvl w:val="0"/>
          <w:numId w:val="2"/>
        </w:numPr>
        <w:spacing w:after="80"/>
      </w:pPr>
      <w:r>
        <w:t xml:space="preserve">Checklist de renouvellement du permis d'études</w:t>
      </w:r>
    </w:p>
    <w:p>
      <w:r>
        <w:t xml:space="preserve"/>
      </w:r>
    </w:p>
    <w:p>
      <w:pPr>
        <w:pStyle w:val="Heading3"/>
      </w:pPr>
      <w:r>
        <w:t xml:space="preserve">Sous-module : Travailleurs Temporaires</w:t>
      </w:r>
    </w:p>
    <w:p>
      <w:pPr>
        <w:pStyle w:val="ListParagraph"/>
        <w:numPr>
          <w:ilvl w:val="0"/>
          <w:numId w:val="2"/>
        </w:numPr>
        <w:spacing w:after="80"/>
      </w:pPr>
      <w:r>
        <w:t xml:space="preserve">Permis ouvert : PGWP, Permis Mobilité Internationale, Permis Conjoint — droits et restrictions</w:t>
      </w:r>
    </w:p>
    <w:p>
      <w:pPr>
        <w:pStyle w:val="ListParagraph"/>
        <w:numPr>
          <w:ilvl w:val="0"/>
          <w:numId w:val="2"/>
        </w:numPr>
        <w:spacing w:after="80"/>
      </w:pPr>
      <w:r>
        <w:t xml:space="preserve">Permis fermé : guide des droits, changement d'employeur, plaintes ESDC, protection contre l'abus</w:t>
      </w:r>
    </w:p>
    <w:p>
      <w:pPr>
        <w:pStyle w:val="ListParagraph"/>
        <w:numPr>
          <w:ilvl w:val="0"/>
          <w:numId w:val="2"/>
        </w:numPr>
        <w:spacing w:after="80"/>
      </w:pPr>
      <w:r>
        <w:t xml:space="preserve">Simulateur de points CRS (Entrée Express) et PTAQ/PEQ (Québec)</w:t>
      </w:r>
    </w:p>
    <w:p>
      <w:pPr>
        <w:pStyle w:val="ListParagraph"/>
        <w:numPr>
          <w:ilvl w:val="0"/>
          <w:numId w:val="2"/>
        </w:numPr>
        <w:spacing w:after="80"/>
      </w:pPr>
      <w:r>
        <w:t xml:space="preserve">Alertes pour les tirages Entrée Express et les volets provinciaux (PNP)</w:t>
      </w:r>
    </w:p>
    <w:p>
      <w:pPr>
        <w:pStyle w:val="ListParagraph"/>
        <w:numPr>
          <w:ilvl w:val="0"/>
          <w:numId w:val="2"/>
        </w:numPr>
        <w:spacing w:after="80"/>
      </w:pPr>
      <w:r>
        <w:t xml:space="preserve">Suivi du dossier d'immigration et historique des statuts</w:t>
      </w:r>
    </w:p>
    <w:p>
      <w:r>
        <w:t xml:space="preserve"/>
      </w:r>
    </w:p>
    <w:p>
      <w:pPr>
        <w:pStyle w:val="Heading2"/>
      </w:pPr>
      <w:r>
        <w:t xml:space="preserve">Module 3 — Emploi &amp; Carrière</w:t>
      </w:r>
    </w:p>
    <w:p>
      <w:pPr>
        <w:spacing w:after="120"/>
      </w:pPr>
      <w:r>
        <w:t xml:space="preserve">Un des besoins les plus critiques : trouver un emploi à la hauteur de ses qualifications dans un nouveau marché.</w:t>
      </w:r>
    </w:p>
    <w:p>
      <w:r>
        <w:t xml:space="preserve"/>
      </w:r>
    </w:p>
    <w:p>
      <w:pPr>
        <w:pStyle w:val="ListParagraph"/>
        <w:numPr>
          <w:ilvl w:val="0"/>
          <w:numId w:val="2"/>
        </w:numPr>
        <w:spacing w:after="80"/>
      </w:pPr>
      <w:r>
        <w:t xml:space="preserve">Reconnaissance des diplômes et accréditations : guide par province et par profession réglementée</w:t>
      </w:r>
    </w:p>
    <w:p>
      <w:pPr>
        <w:pStyle w:val="ListParagraph"/>
        <w:numPr>
          <w:ilvl w:val="0"/>
          <w:numId w:val="2"/>
        </w:numPr>
        <w:spacing w:after="80"/>
      </w:pPr>
      <w:r>
        <w:t xml:space="preserve">Annuaire des organismes de reconnaissance (IRCC, ordres professionnels, WES, IQAS, etc.)</w:t>
      </w:r>
    </w:p>
    <w:p>
      <w:pPr>
        <w:pStyle w:val="ListParagraph"/>
        <w:numPr>
          <w:ilvl w:val="0"/>
          <w:numId w:val="2"/>
        </w:numPr>
        <w:spacing w:after="80"/>
      </w:pPr>
      <w:r>
        <w:t xml:space="preserve">Optimisation du CV canadien avec IA (reformatage, adaptation culturelle, ATS-friendly)</w:t>
      </w:r>
    </w:p>
    <w:p>
      <w:pPr>
        <w:pStyle w:val="ListParagraph"/>
        <w:numPr>
          <w:ilvl w:val="0"/>
          <w:numId w:val="2"/>
        </w:numPr>
        <w:spacing w:after="80"/>
      </w:pPr>
      <w:r>
        <w:t xml:space="preserve">Préparation aux entretiens avec IA (questions fréquentes, réponses STAR, culture d'entreprise canadienne)</w:t>
      </w:r>
    </w:p>
    <w:p>
      <w:pPr>
        <w:pStyle w:val="ListParagraph"/>
        <w:numPr>
          <w:ilvl w:val="0"/>
          <w:numId w:val="2"/>
        </w:numPr>
        <w:spacing w:after="80"/>
      </w:pPr>
      <w:r>
        <w:t xml:space="preserve">Réseau d'entraide entre immigrants du même secteur (mentorat peer-to-peer)</w:t>
      </w:r>
    </w:p>
    <w:p>
      <w:pPr>
        <w:pStyle w:val="ListParagraph"/>
        <w:numPr>
          <w:ilvl w:val="0"/>
          <w:numId w:val="2"/>
        </w:numPr>
        <w:spacing w:after="80"/>
      </w:pPr>
      <w:r>
        <w:t xml:space="preserve">Tableau de bord de recherche d'emploi : suivi des candidatures, contacts, relances</w:t>
      </w:r>
    </w:p>
    <w:p>
      <w:pPr>
        <w:pStyle w:val="ListParagraph"/>
        <w:numPr>
          <w:ilvl w:val="0"/>
          <w:numId w:val="2"/>
        </w:numPr>
        <w:spacing w:after="80"/>
      </w:pPr>
      <w:r>
        <w:t xml:space="preserve">Partenariats avec Indeed, LinkedIn, Glassdoor et employeurs inclusifs pour offres ciblées</w:t>
      </w:r>
    </w:p>
    <w:p>
      <w:pPr>
        <w:pStyle w:val="ListParagraph"/>
        <w:numPr>
          <w:ilvl w:val="0"/>
          <w:numId w:val="2"/>
        </w:numPr>
        <w:spacing w:after="80"/>
      </w:pPr>
      <w:r>
        <w:t xml:space="preserve">Formation en ligne : rédaction de lettre de motivation canadienne, LinkedIn, négociation salariale</w:t>
      </w:r>
    </w:p>
    <w:p>
      <w:r>
        <w:t xml:space="preserve"/>
      </w:r>
    </w:p>
    <w:p>
      <w:pPr>
        <w:pStyle w:val="Heading2"/>
      </w:pPr>
      <w:r>
        <w:t xml:space="preserve">Module 4 — Logement</w:t>
      </w:r>
    </w:p>
    <w:p>
      <w:pPr>
        <w:spacing w:after="120"/>
      </w:pPr>
      <w:r>
        <w:t xml:space="preserve">Trouver un logement sans historique de crédit local et sans références est l'un des premiers défis des nouveaux arrivants.</w:t>
      </w:r>
    </w:p>
    <w:p>
      <w:r>
        <w:t xml:space="preserve"/>
      </w:r>
    </w:p>
    <w:p>
      <w:pPr>
        <w:pStyle w:val="ListParagraph"/>
        <w:numPr>
          <w:ilvl w:val="0"/>
          <w:numId w:val="2"/>
        </w:numPr>
        <w:spacing w:after="80"/>
      </w:pPr>
      <w:r>
        <w:t xml:space="preserve">Guide du bail résidentiel par province (droits du locataire, dépôt de garantie, fin de bail)</w:t>
      </w:r>
    </w:p>
    <w:p>
      <w:pPr>
        <w:pStyle w:val="ListParagraph"/>
        <w:numPr>
          <w:ilvl w:val="0"/>
          <w:numId w:val="2"/>
        </w:numPr>
        <w:spacing w:after="80"/>
      </w:pPr>
      <w:r>
        <w:t xml:space="preserve">Calculateur de budget logement (loyer, services publics, assurance locataire, transport)</w:t>
      </w:r>
    </w:p>
    <w:p>
      <w:pPr>
        <w:pStyle w:val="ListParagraph"/>
        <w:numPr>
          <w:ilvl w:val="0"/>
          <w:numId w:val="2"/>
        </w:numPr>
        <w:spacing w:after="80"/>
      </w:pPr>
      <w:r>
        <w:t xml:space="preserve">Partenariats avec propriétaires inclusifs et agences pour immigrants</w:t>
      </w:r>
    </w:p>
    <w:p>
      <w:pPr>
        <w:pStyle w:val="ListParagraph"/>
        <w:numPr>
          <w:ilvl w:val="0"/>
          <w:numId w:val="2"/>
        </w:numPr>
        <w:spacing w:after="80"/>
      </w:pPr>
      <w:r>
        <w:t xml:space="preserve">Modèles de lettres : candidature locataire sans historique, lettre de garant, plainte au tribunal</w:t>
      </w:r>
    </w:p>
    <w:p>
      <w:pPr>
        <w:pStyle w:val="ListParagraph"/>
        <w:numPr>
          <w:ilvl w:val="0"/>
          <w:numId w:val="2"/>
        </w:numPr>
        <w:spacing w:after="80"/>
      </w:pPr>
      <w:r>
        <w:t xml:space="preserve">Carte interactive des quartiers par critères (écoles, transport, communauté d'origine, coût)</w:t>
      </w:r>
    </w:p>
    <w:p>
      <w:pPr>
        <w:pStyle w:val="ListParagraph"/>
        <w:numPr>
          <w:ilvl w:val="0"/>
          <w:numId w:val="2"/>
        </w:numPr>
        <w:spacing w:after="80"/>
      </w:pPr>
      <w:r>
        <w:t xml:space="preserve">Guide des aides gouvernementales au logement par province (allocation logement, HLM, etc.)</w:t>
      </w:r>
    </w:p>
    <w:p>
      <w:r>
        <w:t xml:space="preserve"/>
      </w:r>
    </w:p>
    <w:p>
      <w:pPr>
        <w:pStyle w:val="Heading2"/>
      </w:pPr>
      <w:r>
        <w:t xml:space="preserve">Module 5 — Finances &amp; Crédit</w:t>
      </w:r>
    </w:p>
    <w:p>
      <w:pPr>
        <w:spacing w:after="120"/>
      </w:pPr>
      <w:r>
        <w:t xml:space="preserve">La construction d'une vie financière au Canada nécessite une éducation et un accompagnement spécifiques.</w:t>
      </w:r>
    </w:p>
    <w:p>
      <w:r>
        <w:t xml:space="preserve"/>
      </w:r>
    </w:p>
    <w:p>
      <w:pPr>
        <w:pStyle w:val="ListParagraph"/>
        <w:numPr>
          <w:ilvl w:val="0"/>
          <w:numId w:val="2"/>
        </w:numPr>
        <w:spacing w:after="80"/>
      </w:pPr>
      <w:r>
        <w:t xml:space="preserve">Comparateur de comptes bancaires pour nouveaux arrivants (offres sans frais : RBC, Scotiabank, TD, BMO, Desjardins, etc.)</w:t>
      </w:r>
    </w:p>
    <w:p>
      <w:pPr>
        <w:pStyle w:val="ListParagraph"/>
        <w:numPr>
          <w:ilvl w:val="0"/>
          <w:numId w:val="2"/>
        </w:numPr>
        <w:spacing w:after="80"/>
      </w:pPr>
      <w:r>
        <w:t xml:space="preserve">Guide de construction du crédit : secured card, rapport de crédit, score Equifax/TransUnion</w:t>
      </w:r>
    </w:p>
    <w:p>
      <w:pPr>
        <w:pStyle w:val="ListParagraph"/>
        <w:numPr>
          <w:ilvl w:val="0"/>
          <w:numId w:val="2"/>
        </w:numPr>
        <w:spacing w:after="80"/>
      </w:pPr>
      <w:r>
        <w:t xml:space="preserve">Déclaration de revenus simplifiée : guide T1 général, T4, relevé 1 (Québec), crédits pour nouveaux immigrants (TPS/TVQ, ACE, CPA)</w:t>
      </w:r>
    </w:p>
    <w:p>
      <w:pPr>
        <w:pStyle w:val="ListParagraph"/>
        <w:numPr>
          <w:ilvl w:val="0"/>
          <w:numId w:val="2"/>
        </w:numPr>
        <w:spacing w:after="80"/>
      </w:pPr>
      <w:r>
        <w:t xml:space="preserve">Simulateur de retenues fiscales selon province et revenus</w:t>
      </w:r>
    </w:p>
    <w:p>
      <w:pPr>
        <w:pStyle w:val="ListParagraph"/>
        <w:numPr>
          <w:ilvl w:val="0"/>
          <w:numId w:val="2"/>
        </w:numPr>
        <w:spacing w:after="80"/>
      </w:pPr>
      <w:r>
        <w:t xml:space="preserve">Guide des transferts internationaux d'argent (Wise, Remitly, Western Union — comparaison frais)</w:t>
      </w:r>
    </w:p>
    <w:p>
      <w:pPr>
        <w:pStyle w:val="ListParagraph"/>
        <w:numPr>
          <w:ilvl w:val="0"/>
          <w:numId w:val="2"/>
        </w:numPr>
        <w:spacing w:after="80"/>
      </w:pPr>
      <w:r>
        <w:t xml:space="preserve">Guide de l'assurance : voiture, habitation, vie — comparaison et droits</w:t>
      </w:r>
    </w:p>
    <w:p>
      <w:r>
        <w:t xml:space="preserve"/>
      </w:r>
    </w:p>
    <w:p>
      <w:pPr>
        <w:pStyle w:val="Heading2"/>
      </w:pPr>
      <w:r>
        <w:t xml:space="preserve">Module 6 — Santé &amp; Bien-être</w:t>
      </w:r>
    </w:p>
    <w:p>
      <w:pPr>
        <w:spacing w:after="120"/>
      </w:pPr>
      <w:r>
        <w:t xml:space="preserve">L'accès au système de santé canadien est complexe, fragmenté par province et soumis à des délais de carence.</w:t>
      </w:r>
    </w:p>
    <w:p>
      <w:r>
        <w:t xml:space="preserve"/>
      </w:r>
    </w:p>
    <w:p>
      <w:pPr>
        <w:pStyle w:val="ListParagraph"/>
        <w:numPr>
          <w:ilvl w:val="0"/>
          <w:numId w:val="2"/>
        </w:numPr>
        <w:spacing w:after="80"/>
      </w:pPr>
      <w:r>
        <w:t xml:space="preserve">Guide de l'assurance-maladie provinciale par statut (RAMQ, OHIP, MSP, etc.) et délais de carence</w:t>
      </w:r>
    </w:p>
    <w:p>
      <w:pPr>
        <w:pStyle w:val="ListParagraph"/>
        <w:numPr>
          <w:ilvl w:val="0"/>
          <w:numId w:val="2"/>
        </w:numPr>
        <w:spacing w:after="80"/>
      </w:pPr>
      <w:r>
        <w:t xml:space="preserve">Guide de l'assurance privée pendant le délai de carence (recommandations, comparaison)</w:t>
      </w:r>
    </w:p>
    <w:p>
      <w:pPr>
        <w:pStyle w:val="ListParagraph"/>
        <w:numPr>
          <w:ilvl w:val="0"/>
          <w:numId w:val="2"/>
        </w:numPr>
        <w:spacing w:after="80"/>
      </w:pPr>
      <w:r>
        <w:t xml:space="preserve">Annuaire des cliniques et médecins acceptant de nouveaux patients — filtré par langue</w:t>
      </w:r>
    </w:p>
    <w:p>
      <w:pPr>
        <w:pStyle w:val="ListParagraph"/>
        <w:numPr>
          <w:ilvl w:val="0"/>
          <w:numId w:val="2"/>
        </w:numPr>
        <w:spacing w:after="80"/>
      </w:pPr>
      <w:r>
        <w:t xml:space="preserve">Ressources en santé mentale : impact psychologique de l'immigration, services culturellement adaptés</w:t>
      </w:r>
    </w:p>
    <w:p>
      <w:pPr>
        <w:pStyle w:val="ListParagraph"/>
        <w:numPr>
          <w:ilvl w:val="0"/>
          <w:numId w:val="2"/>
        </w:numPr>
        <w:spacing w:after="80"/>
      </w:pPr>
      <w:r>
        <w:t xml:space="preserve">Guide de santé pour les familles : vaccins obligatoires, pédiatre, dentiste, optométriste</w:t>
      </w:r>
    </w:p>
    <w:p>
      <w:pPr>
        <w:pStyle w:val="ListParagraph"/>
        <w:numPr>
          <w:ilvl w:val="0"/>
          <w:numId w:val="2"/>
        </w:numPr>
        <w:spacing w:after="80"/>
      </w:pPr>
      <w:r>
        <w:t xml:space="preserve">Accès à des sessions virtuelles avec des professionnels de la santé mentale francophones/multilingues — Phase 2</w:t>
      </w:r>
    </w:p>
    <w:p>
      <w:r>
        <w:t xml:space="preserve"/>
      </w:r>
    </w:p>
    <w:p>
      <w:pPr>
        <w:pStyle w:val="Heading2"/>
      </w:pPr>
      <w:r>
        <w:t xml:space="preserve">Module 7 — Communauté &amp; Intégration Culturelle</w:t>
      </w:r>
    </w:p>
    <w:p>
      <w:pPr>
        <w:spacing w:after="120"/>
      </w:pPr>
      <w:r>
        <w:t xml:space="preserve">L'intégration sociale est aussi importante que l'intégration administrative. NouveauCap crée un espace communautaire fort.</w:t>
      </w:r>
    </w:p>
    <w:p>
      <w:r>
        <w:t xml:space="preserve"/>
      </w:r>
    </w:p>
    <w:p>
      <w:pPr>
        <w:pStyle w:val="ListParagraph"/>
        <w:numPr>
          <w:ilvl w:val="0"/>
          <w:numId w:val="2"/>
        </w:numPr>
        <w:spacing w:after="80"/>
      </w:pPr>
      <w:r>
        <w:t xml:space="preserve">Forum communautaire structuré par statut, province et langue</w:t>
      </w:r>
    </w:p>
    <w:p>
      <w:pPr>
        <w:pStyle w:val="ListParagraph"/>
        <w:numPr>
          <w:ilvl w:val="0"/>
          <w:numId w:val="2"/>
        </w:numPr>
        <w:spacing w:after="80"/>
      </w:pPr>
      <w:r>
        <w:t xml:space="preserve">Événements locaux pour immigrants (réseautage, ateliers, activités culturelles)</w:t>
      </w:r>
    </w:p>
    <w:p>
      <w:pPr>
        <w:pStyle w:val="ListParagraph"/>
        <w:numPr>
          <w:ilvl w:val="0"/>
          <w:numId w:val="2"/>
        </w:numPr>
        <w:spacing w:after="80"/>
      </w:pPr>
      <w:r>
        <w:t xml:space="preserve">Programme de mentorat : immigrants établis guident les nouveaux arrivants</w:t>
      </w:r>
    </w:p>
    <w:p>
      <w:pPr>
        <w:pStyle w:val="ListParagraph"/>
        <w:numPr>
          <w:ilvl w:val="0"/>
          <w:numId w:val="2"/>
        </w:numPr>
        <w:spacing w:after="80"/>
      </w:pPr>
      <w:r>
        <w:t xml:space="preserve">Guide culturel du Canada : codes sociaux, étiquette au travail, vie quotidienne</w:t>
      </w:r>
    </w:p>
    <w:p>
      <w:pPr>
        <w:pStyle w:val="ListParagraph"/>
        <w:numPr>
          <w:ilvl w:val="0"/>
          <w:numId w:val="2"/>
        </w:numPr>
        <w:spacing w:after="80"/>
      </w:pPr>
      <w:r>
        <w:t xml:space="preserve">Annuaire des associations ethnoculturelles par ville</w:t>
      </w:r>
    </w:p>
    <w:p>
      <w:pPr>
        <w:pStyle w:val="ListParagraph"/>
        <w:numPr>
          <w:ilvl w:val="0"/>
          <w:numId w:val="2"/>
        </w:numPr>
        <w:spacing w:after="80"/>
      </w:pPr>
      <w:r>
        <w:t xml:space="preserve">Apprentissage du français ou de l'anglais intégré : ressources par niveau et contexte (travail, vie quotidienne)</w:t>
      </w:r>
    </w:p>
    <w:p>
      <w:pPr>
        <w:spacing w:before="400"/>
      </w:pPr>
      <w:r>
        <w:br w:type="page"/>
      </w:r>
    </w:p>
    <w:p>
      <w:pPr>
        <w:pStyle w:val="Heading1"/>
      </w:pPr>
      <w:r>
        <w:t xml:space="preserve">6. Roadmap &amp; Priorisation</w:t>
      </w:r>
    </w:p>
    <w:p>
      <w:pPr>
        <w:pStyle w:val="Heading2"/>
      </w:pPr>
      <w:r>
        <w:t xml:space="preserve">6.1 Matrice de priorisation des 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Fonctionnalité</w:t>
            </w:r>
          </w:p>
        </w:tc>
        <w:tc>
          <w:tcPr>
            <w:tcW w:type="dxa" w:w="18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Priorité</w:t>
            </w:r>
          </w:p>
        </w:tc>
        <w:tc>
          <w:tcPr>
            <w:tcW w:type="dxa" w:w="18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Phase</w:t>
            </w:r>
          </w:p>
        </w:tc>
        <w:tc>
          <w:tcPr>
            <w:tcW w:type="dxa" w:w="27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Onboarding adaptatif &amp; profil</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sz w:val="20"/>
                <w:szCs w:val="20"/>
              </w:rPr>
              <w:t xml:space="preserve">Critique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Fondation de l'expérience personnalisée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Tableau de bord &amp; checklist dynamique</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sz w:val="20"/>
                <w:szCs w:val="20"/>
              </w:rPr>
              <w:t xml:space="preserve">Critique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Core value proposition</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Module Immigration — statuts RP, études, travail</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sz w:val="20"/>
                <w:szCs w:val="20"/>
              </w:rPr>
              <w:t xml:space="preserve">Critique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Différenciateur clé</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Alertes et rappels d'échéances légales</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sz w:val="20"/>
                <w:szCs w:val="20"/>
              </w:rPr>
              <w:t xml:space="preserve">Critique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Rétention et valeur critique</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Guide droits des travailleurs (permis fermé)</w:t>
            </w:r>
          </w:p>
        </w:tc>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sz w:val="20"/>
                <w:szCs w:val="20"/>
              </w:rPr>
              <w:t xml:space="preserve">Critique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Protection vulnérable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Guide logement et bail</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Besoin immédiat à l'arrivée</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Comparateur de banques et guide crédit</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Besoin universel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Guide assurance-maladie provinciale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Critique pour la santé</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Optimisation CV avec IA</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Différenciateur emploi</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Forum communautaire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1</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Rétention et viralité</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Simulateur CRS / points immigration</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Engagement fort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Reconnaissance des diplômes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Emploi qualifié</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Module impôts simplifié</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Saisonnier mais fort engagement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Préparation entretiens avec IA</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color w:val="1A5276"/>
                <w:sz w:val="20"/>
                <w:szCs w:val="20"/>
              </w:rPr>
              <w:t xml:space="preserve">Moyenne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Valeur premium</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Programme de mentorat</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color w:val="1A5276"/>
                <w:sz w:val="20"/>
                <w:szCs w:val="20"/>
              </w:rPr>
              <w:t xml:space="preserve">Moyenne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Communauté et rétention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Carte interactive des quartiers</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color w:val="1A5276"/>
                <w:sz w:val="20"/>
                <w:szCs w:val="20"/>
              </w:rPr>
              <w:t xml:space="preserve">Moyenne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Découverte logement</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Santé mentale — sessions virtuelles</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color w:val="1A5276"/>
                <w:sz w:val="20"/>
                <w:szCs w:val="20"/>
              </w:rPr>
              <w:t xml:space="preserve">Moyenne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3</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Partenariats à établir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Synchronisation IRCC / MyCRA</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b/>
                <w:bCs/>
                <w:color w:val="1A5276"/>
                <w:sz w:val="20"/>
                <w:szCs w:val="20"/>
              </w:rPr>
              <w:t xml:space="preserve">Moyenne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Phase 3</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val="false"/>
                <w:bCs w:val="false"/>
                <w:color w:val="000000"/>
                <w:sz w:val="20"/>
                <w:szCs w:val="20"/>
              </w:rPr>
              <w:t xml:space="preserve">Technique complexe, APIs publiques limitées</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Application hors-ligne (mobile)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770D"/>
                <w:sz w:val="20"/>
                <w:szCs w:val="20"/>
              </w:rPr>
              <w:t xml:space="preserve">Haute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Phase 2</w:t>
            </w:r>
          </w:p>
        </w:tc>
        <w:tc>
          <w:tcPr>
            <w:tcW w:type="dxa" w:w="2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val="false"/>
                <w:bCs w:val="false"/>
                <w:color w:val="000000"/>
                <w:sz w:val="20"/>
                <w:szCs w:val="20"/>
              </w:rPr>
              <w:t xml:space="preserve">Critique pour travailleurs ruraux</w:t>
            </w:r>
          </w:p>
        </w:tc>
      </w:tr>
    </w:tbl>
    <w:p>
      <w:r>
        <w:t xml:space="preserve"/>
      </w:r>
    </w:p>
    <w:p>
      <w:pPr>
        <w:pStyle w:val="Heading2"/>
      </w:pPr>
      <w:r>
        <w:t xml:space="preserve">6.2 Planning des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Phase</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Période</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Objectifs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Phase 1 — MVP</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Mois 1–6</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Onboarding, modules immigration/logement/finances/santé, forum, alertes, app mobile iOS/Android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Phase 2 — Growth</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Mois 7–12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IA emploi, simulateurs, mentorat, carte quartiers, impôts, partenariats B2B</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Phase 3 — Scale</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Mois 13–18</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API gouvernementales, santé mentale, expansion provinciale profonde, API partenaires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Phase 4 — Expansion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Mois 19–24</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Extension à d'autres pays francophones (France, Belgique) avec adaptation locale</w:t>
            </w:r>
          </w:p>
        </w:tc>
      </w:tr>
    </w:tbl>
    <w:p>
      <w:pPr>
        <w:spacing w:before="400"/>
      </w:pPr>
      <w:r>
        <w:br w:type="page"/>
      </w:r>
    </w:p>
    <w:p>
      <w:pPr>
        <w:pStyle w:val="Heading1"/>
      </w:pPr>
      <w:r>
        <w:t xml:space="preserve">7. Modèle de Revenus</w:t>
      </w:r>
    </w:p>
    <w:p>
      <w:pPr>
        <w:pStyle w:val="Heading2"/>
      </w:pPr>
      <w:r>
        <w:t xml:space="preserve">7.1 Modèle Freemium (B2C)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Niveau</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Prix</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Fonctionnalités incluses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Gratuit</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0 CAD/mois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Onboarding, checklist basique, forum, guides généraux, alertes limitées (3/mois)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Essentiel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9,99 CAD/mois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Tout le gratuit + alertes illimitées, simulateurs, modules logement et finances complets, support prioritaire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Premium</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19,99 CAD/mois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Tout Essentiel + IA emploi, mentorat 1:1 (2h/mois), documents personnalisés, accès communautés exclusives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Famille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29,99 CAD/mois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Premium pour 2 adultes + enfants, guide scolarisation, ressources parentales</w:t>
            </w:r>
          </w:p>
        </w:tc>
      </w:tr>
    </w:tbl>
    <w:p>
      <w:r>
        <w:t xml:space="preserve"/>
      </w:r>
    </w:p>
    <w:p>
      <w:pPr>
        <w:pStyle w:val="Heading2"/>
      </w:pPr>
      <w:r>
        <w:t xml:space="preserve">7.2 Modèle B2B (Partenariats)</w:t>
      </w:r>
    </w:p>
    <w:p>
      <w:pPr>
        <w:pStyle w:val="ListParagraph"/>
        <w:numPr>
          <w:ilvl w:val="0"/>
          <w:numId w:val="2"/>
        </w:numPr>
        <w:spacing w:after="80"/>
      </w:pPr>
      <w:r>
        <w:t xml:space="preserve">Universités et collèges : licence institutionnelle pour offrir NouveauCap à leurs étudiants étrangers (50-200 CAD/étudiant/an)</w:t>
      </w:r>
    </w:p>
    <w:p>
      <w:pPr>
        <w:pStyle w:val="ListParagraph"/>
        <w:numPr>
          <w:ilvl w:val="0"/>
          <w:numId w:val="2"/>
        </w:numPr>
        <w:spacing w:after="80"/>
      </w:pPr>
      <w:r>
        <w:t xml:space="preserve">Employeurs inclusifs : accès à une base de candidats immigrants qualifiés, badge de reconnaissance (500-5000 CAD/mois)</w:t>
      </w:r>
    </w:p>
    <w:p>
      <w:pPr>
        <w:pStyle w:val="ListParagraph"/>
        <w:numPr>
          <w:ilvl w:val="0"/>
          <w:numId w:val="2"/>
        </w:numPr>
        <w:spacing w:after="80"/>
      </w:pPr>
      <w:r>
        <w:t xml:space="preserve">Services d'établissement et OSBL : outils de gestion de clientèle pour conseillers en immigration</w:t>
      </w:r>
    </w:p>
    <w:p>
      <w:pPr>
        <w:pStyle w:val="ListParagraph"/>
        <w:numPr>
          <w:ilvl w:val="0"/>
          <w:numId w:val="2"/>
        </w:numPr>
        <w:spacing w:after="80"/>
      </w:pPr>
      <w:r>
        <w:t xml:space="preserve">Gouvernements provinciaux : contrats de service pour accompagner les programmes d'immigration économique</w:t>
      </w:r>
    </w:p>
    <w:p>
      <w:r>
        <w:t xml:space="preserve"/>
      </w:r>
    </w:p>
    <w:p>
      <w:pPr>
        <w:pStyle w:val="Heading2"/>
      </w:pPr>
      <w:r>
        <w:t xml:space="preserve">7.3 Revenus annexes</w:t>
      </w:r>
    </w:p>
    <w:p>
      <w:pPr>
        <w:pStyle w:val="ListParagraph"/>
        <w:numPr>
          <w:ilvl w:val="0"/>
          <w:numId w:val="2"/>
        </w:numPr>
        <w:spacing w:after="80"/>
      </w:pPr>
      <w:r>
        <w:t xml:space="preserve">Publicité ciblée éthique : partenaires financiers, assurances, écoles de langue — non intrusif, opt-in</w:t>
      </w:r>
    </w:p>
    <w:p>
      <w:pPr>
        <w:pStyle w:val="ListParagraph"/>
        <w:numPr>
          <w:ilvl w:val="0"/>
          <w:numId w:val="2"/>
        </w:numPr>
        <w:spacing w:after="80"/>
      </w:pPr>
      <w:r>
        <w:t xml:space="preserve">Marketplace de services : avocats en immigration, traducteurs certifiés, conseillers fiscaux — commission 10-15%</w:t>
      </w:r>
    </w:p>
    <w:p>
      <w:pPr>
        <w:pStyle w:val="ListParagraph"/>
        <w:numPr>
          <w:ilvl w:val="0"/>
          <w:numId w:val="2"/>
        </w:numPr>
        <w:spacing w:after="80"/>
      </w:pPr>
      <w:r>
        <w:t xml:space="preserve">Formations certifiantes : cours de français, anglais des affaires, intégration professionnelle</w:t>
      </w:r>
    </w:p>
    <w:p>
      <w:r>
        <w:t xml:space="preserve"/>
      </w:r>
    </w:p>
    <w:p>
      <w:pPr>
        <w:pStyle w:val="Heading2"/>
      </w:pPr>
      <w:r>
        <w:t xml:space="preserve">7.4 Projections financières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Mois 6 (fin Phase 1)</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5 000 utilisateurs payants — MRR : 75 000 CAD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Mois 12 (fin Phase 2)</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20 000 utilisateurs payants — MRR : 280 000 CAD + 50 000 B2B</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Mois 18</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45 000 utilisateurs payants — MRR : 500 000 CAD + 150 000 B2B</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Mois 24</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100 000 utilisateurs payants — MRR : 1 100 000 CAD + 400 000 B2B</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Point d'équilibre estimé</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Mois 14-16 selon vitesse d'acquisition B2B</w:t>
            </w:r>
          </w:p>
        </w:tc>
      </w:tr>
    </w:tbl>
    <w:p>
      <w:pPr>
        <w:spacing w:before="400"/>
      </w:pPr>
      <w:r>
        <w:br w:type="page"/>
      </w:r>
    </w:p>
    <w:p>
      <w:pPr>
        <w:pStyle w:val="Heading1"/>
      </w:pPr>
      <w:r>
        <w:t xml:space="preserve">8. Architecture Technique</w:t>
      </w:r>
    </w:p>
    <w:p>
      <w:pPr>
        <w:pStyle w:val="Heading2"/>
      </w:pPr>
      <w:r>
        <w:t xml:space="preserve">8.1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Couche</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Technologies</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Frontend Web</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Next.js 14, TypeScript, Tailwind CSS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SSR pour SEO, performance, DX</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Application Mobile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React Native (Expo)</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Code partagé iOS/Android, hors-ligne via SQLite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Backend API</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Node.js + Fastify ou NestJS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Performance, scalabilité, écosystème Node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PostgreSQL (Supabase) + Redis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Relationnel structuré + cache temps réel</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Authentification</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Supabase Auth / Clerk</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MFA, OAuth, sécurité enterprise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Stockage fichiers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AWS S3 ou Cloudflare R2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Documents utilisateurs, guides PDF</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IA / ML</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OpenAI GPT-4o + embeddings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CV, préparation entretiens, chatbot assistant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OneSignal / Firebase Cloud Messaging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Push, email, SMS multi-canal</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Internationalisation</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i18next + DeepL API</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Support 10+ langues avec traduction IA</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Analytics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PostHog (self-hosted) + Mixpanel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Privacy-first, LPRPDE compliant</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Paiements</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Stripe + Moneris (Canada)</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Support CAD natif, récurrent, B2B invoicing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AWS (ca-central-1) + Vercel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Résidence des données au Canada (LPRPDE)</w:t>
            </w:r>
          </w:p>
        </w:tc>
      </w:tr>
    </w:tbl>
    <w:p>
      <w:r>
        <w:t xml:space="preserve"/>
      </w:r>
    </w:p>
    <w:p>
      <w:pPr>
        <w:pStyle w:val="Heading2"/>
      </w:pPr>
      <w:r>
        <w:t xml:space="preserve">8.2 Considérations de sécurité et conformité</w:t>
      </w:r>
    </w:p>
    <w:p>
      <w:pPr>
        <w:pStyle w:val="ListParagraph"/>
        <w:numPr>
          <w:ilvl w:val="0"/>
          <w:numId w:val="2"/>
        </w:numPr>
        <w:spacing w:after="80"/>
      </w:pPr>
      <w:r>
        <w:t xml:space="preserve">Conformité à la Loi sur la protection des renseignements personnels et les documents électroniques (LPRPDE) et Loi 25 (Québec)</w:t>
      </w:r>
    </w:p>
    <w:p>
      <w:pPr>
        <w:pStyle w:val="ListParagraph"/>
        <w:numPr>
          <w:ilvl w:val="0"/>
          <w:numId w:val="2"/>
        </w:numPr>
        <w:spacing w:after="80"/>
      </w:pPr>
      <w:r>
        <w:t xml:space="preserve">Toutes les données stockées sur des serveurs canadiens (AWS ca-central-1)</w:t>
      </w:r>
    </w:p>
    <w:p>
      <w:pPr>
        <w:pStyle w:val="ListParagraph"/>
        <w:numPr>
          <w:ilvl w:val="0"/>
          <w:numId w:val="2"/>
        </w:numPr>
        <w:spacing w:after="80"/>
      </w:pPr>
      <w:r>
        <w:t xml:space="preserve">Chiffrement des données au repos (AES-256) et en transit (TLS 1.3)</w:t>
      </w:r>
    </w:p>
    <w:p>
      <w:pPr>
        <w:pStyle w:val="ListParagraph"/>
        <w:numPr>
          <w:ilvl w:val="0"/>
          <w:numId w:val="2"/>
        </w:numPr>
        <w:spacing w:after="80"/>
      </w:pPr>
      <w:r>
        <w:t xml:space="preserve">Authentification multi-facteurs (MFA) obligatoire pour les comptes Premium</w:t>
      </w:r>
    </w:p>
    <w:p>
      <w:pPr>
        <w:pStyle w:val="ListParagraph"/>
        <w:numPr>
          <w:ilvl w:val="0"/>
          <w:numId w:val="2"/>
        </w:numPr>
        <w:spacing w:after="80"/>
      </w:pPr>
      <w:r>
        <w:t xml:space="preserve">Politique claire de non-partage des données avec IRCC ou tout organisme gouvernemental sans consentement explicite</w:t>
      </w:r>
    </w:p>
    <w:p>
      <w:pPr>
        <w:pStyle w:val="ListParagraph"/>
        <w:numPr>
          <w:ilvl w:val="0"/>
          <w:numId w:val="2"/>
        </w:numPr>
        <w:spacing w:after="80"/>
      </w:pPr>
      <w:r>
        <w:t xml:space="preserve">Audit de sécurité annuel par un tiers certifié</w:t>
      </w:r>
    </w:p>
    <w:p>
      <w:pPr>
        <w:pStyle w:val="ListParagraph"/>
        <w:numPr>
          <w:ilvl w:val="0"/>
          <w:numId w:val="2"/>
        </w:numPr>
        <w:spacing w:after="80"/>
      </w:pPr>
      <w:r>
        <w:t xml:space="preserve">Droit à l'oubli et portabilité des données selon les standards RGPD (applicable aux utilisateurs européens)</w:t>
      </w:r>
    </w:p>
    <w:p>
      <w:r>
        <w:t xml:space="preserve"/>
      </w:r>
    </w:p>
    <w:p>
      <w:pPr>
        <w:pStyle w:val="Heading2"/>
      </w:pPr>
      <w:r>
        <w:t xml:space="preserve">8.3 Internationalisation (i18n)</w:t>
      </w:r>
    </w:p>
    <w:p>
      <w:pPr>
        <w:spacing w:after="120"/>
      </w:pPr>
      <w:r>
        <w:t xml:space="preserve">Langues prioritaires pour le lancement (Phase 1) : français, anglais, espagnol, mandarin, hindi, tagalog, arabe. Langues Phase 2 : portugais (brésilien), punjabi, coréen.</w:t>
      </w:r>
    </w:p>
    <w:p>
      <w:pPr>
        <w:spacing w:after="120"/>
      </w:pPr>
      <w:r>
        <w:t xml:space="preserve">La plateforme s'appuie sur un système de traduction hybride : traductions humaines vérifiées pour les contenus légaux et critiques, DeepL/GPT-4o pour les contenus dynamiques et la communauté.</w:t>
      </w:r>
    </w:p>
    <w:p>
      <w:pPr>
        <w:spacing w:before="400"/>
      </w:pPr>
      <w:r>
        <w:br w:type="page"/>
      </w:r>
    </w:p>
    <w:p>
      <w:pPr>
        <w:pStyle w:val="Heading1"/>
      </w:pPr>
      <w:r>
        <w:t xml:space="preserve">9. Expérience Utilisateur &amp; Design</w:t>
      </w:r>
    </w:p>
    <w:p>
      <w:pPr>
        <w:pStyle w:val="Heading2"/>
      </w:pPr>
      <w:r>
        <w:t xml:space="preserve">9.1 Principes de design</w:t>
      </w:r>
    </w:p>
    <w:p>
      <w:pPr>
        <w:pStyle w:val="ListParagraph"/>
        <w:numPr>
          <w:ilvl w:val="0"/>
          <w:numId w:val="2"/>
        </w:numPr>
        <w:spacing w:after="80"/>
      </w:pPr>
      <w:r>
        <w:t xml:space="preserve">Clarté avant tout : terminologie simple, éviter le jargon légal ou administratif sans explication</w:t>
      </w:r>
    </w:p>
    <w:p>
      <w:pPr>
        <w:pStyle w:val="ListParagraph"/>
        <w:numPr>
          <w:ilvl w:val="0"/>
          <w:numId w:val="2"/>
        </w:numPr>
        <w:spacing w:after="80"/>
      </w:pPr>
      <w:r>
        <w:t xml:space="preserve">Personnalisation profonde : chaque écran est contextualisé selon le statut et la province de l'utilisateur</w:t>
      </w:r>
    </w:p>
    <w:p>
      <w:pPr>
        <w:pStyle w:val="ListParagraph"/>
        <w:numPr>
          <w:ilvl w:val="0"/>
          <w:numId w:val="2"/>
        </w:numPr>
        <w:spacing w:after="80"/>
      </w:pPr>
      <w:r>
        <w:t xml:space="preserve">Accessibilité : conformité WCAG 2.1 AA, support lecteurs d'écran, contraste suffisant</w:t>
      </w:r>
    </w:p>
    <w:p>
      <w:pPr>
        <w:pStyle w:val="ListParagraph"/>
        <w:numPr>
          <w:ilvl w:val="0"/>
          <w:numId w:val="2"/>
        </w:numPr>
        <w:spacing w:after="80"/>
      </w:pPr>
      <w:r>
        <w:t xml:space="preserve">Mobile-first : 70%+ des utilisateurs accèdent depuis un smartphone (selon benchmarks sectoriels)</w:t>
      </w:r>
    </w:p>
    <w:p>
      <w:pPr>
        <w:pStyle w:val="ListParagraph"/>
        <w:numPr>
          <w:ilvl w:val="0"/>
          <w:numId w:val="2"/>
        </w:numPr>
        <w:spacing w:after="80"/>
      </w:pPr>
      <w:r>
        <w:t xml:space="preserve">Confiance et transparence : afficher clairement les sources gouvernementales, dater les informations</w:t>
      </w:r>
    </w:p>
    <w:p>
      <w:pPr>
        <w:pStyle w:val="ListParagraph"/>
        <w:numPr>
          <w:ilvl w:val="0"/>
          <w:numId w:val="2"/>
        </w:numPr>
        <w:spacing w:after="80"/>
      </w:pPr>
      <w:r>
        <w:t xml:space="preserve">Empathie et bienveillance : ton chaleureux, encourageant, non-condescendant</w:t>
      </w:r>
    </w:p>
    <w:p>
      <w:r>
        <w:t xml:space="preserve"/>
      </w:r>
    </w:p>
    <w:p>
      <w:pPr>
        <w:pStyle w:val="Heading2"/>
      </w:pPr>
      <w:r>
        <w:t xml:space="preserve">9.2 Parcours utilisateur clé — Premier arrivant</w:t>
      </w:r>
    </w:p>
    <w:p>
      <w:pPr>
        <w:pStyle w:val="ListParagraph"/>
        <w:numPr>
          <w:ilvl w:val="0"/>
          <w:numId w:val="3"/>
        </w:numPr>
        <w:spacing w:after="80"/>
      </w:pPr>
      <w:r>
        <w:t xml:space="preserve">Découverte (organique ou partenaire) → Inscription en 2 minutes (email ou Google/Apple)</w:t>
      </w:r>
    </w:p>
    <w:p>
      <w:pPr>
        <w:pStyle w:val="ListParagraph"/>
        <w:numPr>
          <w:ilvl w:val="0"/>
          <w:numId w:val="3"/>
        </w:numPr>
        <w:spacing w:after="80"/>
      </w:pPr>
      <w:r>
        <w:t xml:space="preserve">Onboarding adaptatif : 6 questions → génération du plan personnalisé</w:t>
      </w:r>
    </w:p>
    <w:p>
      <w:pPr>
        <w:pStyle w:val="ListParagraph"/>
        <w:numPr>
          <w:ilvl w:val="0"/>
          <w:numId w:val="3"/>
        </w:numPr>
        <w:spacing w:after="80"/>
      </w:pPr>
      <w:r>
        <w:t xml:space="preserve">Tableau de bord : "Vos 5 premières actions" avec progression visuelle</w:t>
      </w:r>
    </w:p>
    <w:p>
      <w:pPr>
        <w:pStyle w:val="ListParagraph"/>
        <w:numPr>
          <w:ilvl w:val="0"/>
          <w:numId w:val="3"/>
        </w:numPr>
        <w:spacing w:after="80"/>
      </w:pPr>
      <w:r>
        <w:t xml:space="preserve">Première action guidée : ex. obtenir son NAS → guide étape par étape</w:t>
      </w:r>
    </w:p>
    <w:p>
      <w:pPr>
        <w:pStyle w:val="ListParagraph"/>
        <w:numPr>
          <w:ilvl w:val="0"/>
          <w:numId w:val="3"/>
        </w:numPr>
        <w:spacing w:after="80"/>
      </w:pPr>
      <w:r>
        <w:t xml:space="preserve">Notification 30 jours plus tard : rappel renouvellement assurance provisoire</w:t>
      </w:r>
    </w:p>
    <w:p>
      <w:pPr>
        <w:pStyle w:val="ListParagraph"/>
        <w:numPr>
          <w:ilvl w:val="0"/>
          <w:numId w:val="3"/>
        </w:numPr>
        <w:spacing w:after="80"/>
      </w:pPr>
      <w:r>
        <w:t xml:space="preserve">Conversion Premium : invitation à débloquer le module emploi après 2 semaines d'usage gratuit</w:t>
      </w:r>
    </w:p>
    <w:p>
      <w:r>
        <w:t xml:space="preserve"/>
      </w:r>
    </w:p>
    <w:p>
      <w:pPr>
        <w:pStyle w:val="Heading2"/>
      </w:pPr>
      <w:r>
        <w:t xml:space="preserve">9.3 Accessibilité hors-ligne (Mobile)</w:t>
      </w:r>
    </w:p>
    <w:p>
      <w:pPr>
        <w:spacing w:after="120"/>
      </w:pPr>
      <w:r>
        <w:t xml:space="preserve">Pour les travailleurs temporaires en zone rurale (persona Raj), l'application mobile doit fonctionner sans connexion pour les fonctionnalités essentielles : lecture des guides téléchargés, checklist locale, informations de contact d'urgence. La synchronisation se fait dès le retour en ligne.</w:t>
      </w:r>
    </w:p>
    <w:p>
      <w:pPr>
        <w:spacing w:before="400"/>
      </w:pPr>
      <w:r>
        <w:br w:type="page"/>
      </w:r>
    </w:p>
    <w:p>
      <w:pPr>
        <w:pStyle w:val="Heading1"/>
      </w:pPr>
      <w:r>
        <w:t xml:space="preserve">10. Stratégie Go-to-Market</w:t>
      </w:r>
    </w:p>
    <w:p>
      <w:pPr>
        <w:pStyle w:val="Heading2"/>
      </w:pPr>
      <w:r>
        <w:t xml:space="preserve">10.1 Canaux d'acquisition</w:t>
      </w:r>
    </w:p>
    <w:p>
      <w:pPr>
        <w:pStyle w:val="Heading3"/>
      </w:pPr>
      <w:r>
        <w:t xml:space="preserve">SEO et contenu</w:t>
      </w:r>
    </w:p>
    <w:p>
      <w:pPr>
        <w:spacing w:after="120"/>
      </w:pPr>
      <w:r>
        <w:t xml:space="preserve">Production de contenu de haute qualité ciblant les requêtes à forte intention : "comment obtenir son NAS au Canada", "droits travailleur temporaire permis fermé", "déclarer impôts première année Canada". Stratégie de contenu multilingue dès le lancement.</w:t>
      </w:r>
    </w:p>
    <w:p>
      <w:pPr>
        <w:pStyle w:val="Heading3"/>
      </w:pPr>
      <w:r>
        <w:t xml:space="preserve">Partenariats institutionnels</w:t>
      </w:r>
    </w:p>
    <w:p>
      <w:pPr>
        <w:spacing w:after="120"/>
      </w:pPr>
      <w:r>
        <w:t xml:space="preserve">Accords avec les universités canadiennes (bureaux des étudiants étrangers), les centres d'accueil des immigrants (YMCA, COSTI, TCRI, SISO), les employeurs signataires de chartes de diversité (BCE, Shopify, Desjardins, etc.).</w:t>
      </w:r>
    </w:p>
    <w:p>
      <w:pPr>
        <w:pStyle w:val="Heading3"/>
      </w:pPr>
      <w:r>
        <w:t xml:space="preserve">Communautés en ligne</w:t>
      </w:r>
    </w:p>
    <w:p>
      <w:pPr>
        <w:spacing w:after="120"/>
      </w:pPr>
      <w:r>
        <w:t xml:space="preserve">Présence active sur les groupes Facebook, Reddit (r/ImmigrationCanada, r/france), Discord et WhatsApp dédiés aux immigrants par communauté linguistique. Création de valeur avant la promotion.</w:t>
      </w:r>
    </w:p>
    <w:p>
      <w:pPr>
        <w:pStyle w:val="Heading3"/>
      </w:pPr>
      <w:r>
        <w:t xml:space="preserve">Bouche-à-oreille et referral</w:t>
      </w:r>
    </w:p>
    <w:p>
      <w:pPr>
        <w:spacing w:after="120"/>
      </w:pPr>
      <w:r>
        <w:t xml:space="preserve">Programme de parrainage : 2 mois gratuits pour l'utilisateur et son filleul. Les immigrants font naturellement confiance aux recommandations de leur réseau.</w:t>
      </w:r>
    </w:p>
    <w:p>
      <w:pPr>
        <w:pStyle w:val="Heading3"/>
      </w:pPr>
      <w:r>
        <w:t xml:space="preserve">Relations presse et influenceurs</w:t>
      </w:r>
    </w:p>
    <w:p>
      <w:pPr>
        <w:spacing w:after="120"/>
      </w:pPr>
      <w:r>
        <w:t xml:space="preserve">Partenariats avec des YouTubers et créateurs de contenu s'adressant aux communautés immigrantes (francophones, hispanophones, etc.). Relations presse avec La Presse, Le Devoir, CBC, Globe and Mail.</w:t>
      </w:r>
    </w:p>
    <w:p>
      <w:pPr>
        <w:pStyle w:val="Heading2"/>
      </w:pPr>
      <w:r>
        <w:t xml:space="preserve">10.2 Positionnement concurrentiel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Concurrent</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Type</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Lacune exploitée par NouveauCap</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Arrive (IRCC)</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Gouvernemental gratuit</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Très basique, pas de personnalisation, pas de communauté</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Settlement.org</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OSBL informatif</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Informationnel uniquement, pas d'outil interactif</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Deloitte / EY (relocation)</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B2B enterprise</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Coûteux, pas accessible aux individus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Facebook Groups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Informel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Non structuré, information non vérifiée, risques juridiques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Boundless (USA)</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Immigration légale US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Pas de version canadienne, focus légal uniquement</w:t>
            </w:r>
          </w:p>
        </w:tc>
      </w:tr>
    </w:tbl>
    <w:p>
      <w:r>
        <w:t xml:space="preserve"/>
      </w:r>
    </w:p>
    <w:p>
      <w:pPr>
        <w:spacing w:after="120"/>
      </w:pPr>
      <w:r>
        <w:t xml:space="preserve">L'avantage concurrentiel de NouveauCap repose sur trois piliers : la personnalisation par statut (unique sur le marché), la couverture complète du cycle de vie de l'immigrant (de l'arrivée à la citoyenneté), et la confiance communautaire (pair-à-pair + vérification experte).</w:t>
      </w:r>
    </w:p>
    <w:p>
      <w:pPr>
        <w:spacing w:before="400"/>
      </w:pPr>
      <w:r>
        <w:br w:type="page"/>
      </w:r>
    </w:p>
    <w:p>
      <w:pPr>
        <w:pStyle w:val="Heading1"/>
      </w:pPr>
      <w:r>
        <w:t xml:space="preserve">11. 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Risque</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Impact / Probabilité</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Information légale obsolète ou incorrecte</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Élevé / Moyen</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Équipe éditoriale dédiée, partenariat avec avocats, disclaimer clair, mise à jour mensuelle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Changements réglementaires IRCC fréquents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Élevé / Élevé</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Veille automatisée + alerte éditoriale, mise à jour en 48h garantie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Confidentialité des données sensibles</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Élevé / Faible</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Conformité LPRPDE, hébergement canadien, audit sécurité, politique transparente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Concurrence d'un acteur gouvernemental (IRCC)</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Moyen / Faible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Valeur ajoutée communautaire et IA non reproductible par le gouvernement rapidement</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Barrière à la monétisation (sensibilité au prix)</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Moyen / Élevé</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Freemium généreux, prix adapté (&lt; 20 CAD/mois), aide sociale via partenaires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Confiance dans une plateforme tierce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Moyen / Moyen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Transparence radicale, certifications, partenariats avec organismes reconnus</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Dépendance aux APIs tierces (IRCC, banques)</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Faible / Élevé</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Architecture découplée, scraping éthique en backup, données mises à jour manuellement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Recrutement équipe technique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Moyen / Moyen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Salaires compétitifs, mission sociale forte, télétravail, options d'achat d'actions</w:t>
            </w:r>
          </w:p>
        </w:tc>
      </w:tr>
    </w:tbl>
    <w:p>
      <w:pPr>
        <w:spacing w:before="400"/>
      </w:pPr>
      <w:r>
        <w:br w:type="page"/>
      </w:r>
    </w:p>
    <w:p>
      <w:pPr>
        <w:pStyle w:val="Heading1"/>
      </w:pPr>
      <w:r>
        <w:t xml:space="preserve">12. Équipe &amp; Organisation</w:t>
      </w:r>
    </w:p>
    <w:p>
      <w:pPr>
        <w:pStyle w:val="Heading2"/>
      </w:pPr>
      <w:r>
        <w:t xml:space="preserve">12.1 Équipe fondatrice idéale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Rôle</w:t>
            </w:r>
          </w:p>
        </w:tc>
        <w:tc>
          <w:tcPr>
            <w:tcW w:type="dxa" w:w="350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Responsabilités</w:t>
            </w:r>
          </w:p>
        </w:tc>
        <w:tc>
          <w:tcPr>
            <w:tcW w:type="dxa" w:w="3360"/>
            <w:tcBorders>
              <w:top w:val="single" w:color="1A5276" w:sz="3"/>
              <w:left w:val="single" w:color="1A5276" w:sz="3"/>
              <w:bottom w:val="single" w:color="1A5276" w:sz="3"/>
              <w:right w:val="single" w:color="1A5276" w:sz="3"/>
            </w:tcBorders>
            <w:shd w:fill="1A5276" w:val="clear"/>
            <w:tcMar>
              <w:top w:type="dxa" w:w="80"/>
              <w:left w:type="dxa" w:w="120"/>
              <w:bottom w:type="dxa" w:w="80"/>
              <w:right w:type="dxa" w:w="120"/>
            </w:tcMar>
          </w:tcPr>
          <w:p>
            <w:r>
              <w:rPr>
                <w:b/>
                <w:bCs/>
                <w:color w:val="FFFFFF"/>
                <w:sz w:val="20"/>
                <w:szCs w:val="20"/>
              </w:rPr>
              <w:t xml:space="preserve">Profil recherché</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CEO / Co-fondateur</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Vision, fundraising, partenariats, go-to-market</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Expérience immigrante, background business ou policy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CTO / Co-fondateur</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Architecture, recrutement tech, sécurité</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Full-stack senior, expérience SaaS, scalabilité</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CPO / Product Lead</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Roadmap, UX, priorisation, recherche utilisateur</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Expérience produit B2C, empathie immigrante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Head of Content &amp; Legal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Véracité de l'information, partenariats experts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Avocat en immigration ou profil policy/juridique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Head of Growth</w:t>
            </w:r>
          </w:p>
        </w:tc>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Acquisition, SEO, partenariats institutionnels</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Growth hacker, communautés immigrantes</w:t>
            </w:r>
          </w:p>
        </w:tc>
      </w:tr>
    </w:tbl>
    <w:p>
      <w:r>
        <w:t xml:space="preserve"/>
      </w:r>
    </w:p>
    <w:p>
      <w:pPr>
        <w:pStyle w:val="Heading2"/>
      </w:pPr>
      <w:r>
        <w:t xml:space="preserve">12.2 Recrutement Phase 1 (12 premiers mois)</w:t>
      </w:r>
    </w:p>
    <w:p>
      <w:pPr>
        <w:pStyle w:val="ListParagraph"/>
        <w:numPr>
          <w:ilvl w:val="0"/>
          <w:numId w:val="2"/>
        </w:numPr>
        <w:spacing w:after="80"/>
      </w:pPr>
      <w:r>
        <w:t xml:space="preserve">2 développeurs full-stack (React Native + Node.js)</w:t>
      </w:r>
    </w:p>
    <w:p>
      <w:pPr>
        <w:pStyle w:val="ListParagraph"/>
        <w:numPr>
          <w:ilvl w:val="0"/>
          <w:numId w:val="2"/>
        </w:numPr>
        <w:spacing w:after="80"/>
      </w:pPr>
      <w:r>
        <w:t xml:space="preserve">1 designer UX/UI senior</w:t>
      </w:r>
    </w:p>
    <w:p>
      <w:pPr>
        <w:pStyle w:val="ListParagraph"/>
        <w:numPr>
          <w:ilvl w:val="0"/>
          <w:numId w:val="2"/>
        </w:numPr>
        <w:spacing w:after="80"/>
      </w:pPr>
      <w:r>
        <w:t xml:space="preserve">1 rédacteur de contenu bilingue (FR/EN) spécialisé immigration</w:t>
      </w:r>
    </w:p>
    <w:p>
      <w:pPr>
        <w:pStyle w:val="ListParagraph"/>
        <w:numPr>
          <w:ilvl w:val="0"/>
          <w:numId w:val="2"/>
        </w:numPr>
        <w:spacing w:after="80"/>
      </w:pPr>
      <w:r>
        <w:t xml:space="preserve">1 responsable partenariats</w:t>
      </w:r>
    </w:p>
    <w:p>
      <w:pPr>
        <w:pStyle w:val="ListParagraph"/>
        <w:numPr>
          <w:ilvl w:val="0"/>
          <w:numId w:val="2"/>
        </w:numPr>
        <w:spacing w:after="80"/>
      </w:pPr>
      <w:r>
        <w:t xml:space="preserve">1 responsable support client (bilingue)</w:t>
      </w:r>
    </w:p>
    <w:p>
      <w:r>
        <w:t xml:space="preserve"/>
      </w:r>
    </w:p>
    <w:p>
      <w:pPr>
        <w:pStyle w:val="Heading2"/>
      </w:pPr>
      <w:r>
        <w:t xml:space="preserve">12.3 Financement envisagé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Amorçage (Seed)</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1,5 - 2,5M CAD — Product, team, go-to-market Phase 1</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Série A (Mois 12-18)</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8-15M CAD — Accélération croissance, expansion, B2B</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Sources potentielles</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Investisseurs impact (diversité, inclusion), fonds canadiens (BDC, OSBL tech), fondations (McConnell, Fondation Lucie et André Chagnon)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Subventions gouvernementales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FedDev Ontario, Québec Numérique, ISDE — secteur immigrantion éligible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Revenue Based Financing</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Option alternative si traction forte avant Série A</w:t>
            </w:r>
          </w:p>
        </w:tc>
      </w:tr>
    </w:tbl>
    <w:p>
      <w:pPr>
        <w:spacing w:before="400"/>
      </w:pPr>
      <w:r>
        <w:br w:type="page"/>
      </w:r>
    </w:p>
    <w:p>
      <w:pPr>
        <w:pStyle w:val="Heading1"/>
      </w:pPr>
      <w:r>
        <w:t xml:space="preserve">13. Critères d'Acceptation &amp; Definition of Done</w:t>
      </w:r>
    </w:p>
    <w:p>
      <w:pPr>
        <w:pStyle w:val="Heading2"/>
      </w:pPr>
      <w:r>
        <w:t xml:space="preserve">13.1 Critères d'acceptation MVP (Phase 1)</w:t>
      </w:r>
    </w:p>
    <w:p>
      <w:pPr>
        <w:pStyle w:val="ListParagraph"/>
        <w:numPr>
          <w:ilvl w:val="0"/>
          <w:numId w:val="3"/>
        </w:numPr>
        <w:spacing w:after="80"/>
      </w:pPr>
      <w:r>
        <w:t xml:space="preserve">L'utilisateur peut compléter l'onboarding en moins de 5 minutes et voir un plan d'action personnalisé</w:t>
      </w:r>
    </w:p>
    <w:p>
      <w:pPr>
        <w:pStyle w:val="ListParagraph"/>
        <w:numPr>
          <w:ilvl w:val="0"/>
          <w:numId w:val="3"/>
        </w:numPr>
        <w:spacing w:after="80"/>
      </w:pPr>
      <w:r>
        <w:t xml:space="preserve">Le système reconnaît et adapte l'expérience selon les 4 statuts d'immigration définis</w:t>
      </w:r>
    </w:p>
    <w:p>
      <w:pPr>
        <w:pStyle w:val="ListParagraph"/>
        <w:numPr>
          <w:ilvl w:val="0"/>
          <w:numId w:val="3"/>
        </w:numPr>
        <w:spacing w:after="80"/>
      </w:pPr>
      <w:r>
        <w:t xml:space="preserve">Les alertes d'échéances sont envoyées avec un préavis minimum de 90 jours pour les renouvellements critiques</w:t>
      </w:r>
    </w:p>
    <w:p>
      <w:pPr>
        <w:pStyle w:val="ListParagraph"/>
        <w:numPr>
          <w:ilvl w:val="0"/>
          <w:numId w:val="3"/>
        </w:numPr>
        <w:spacing w:after="80"/>
      </w:pPr>
      <w:r>
        <w:t xml:space="preserve">L'application mobile fonctionne hors-ligne pour la lecture des guides téléchargés</w:t>
      </w:r>
    </w:p>
    <w:p>
      <w:pPr>
        <w:pStyle w:val="ListParagraph"/>
        <w:numPr>
          <w:ilvl w:val="0"/>
          <w:numId w:val="3"/>
        </w:numPr>
        <w:spacing w:after="80"/>
      </w:pPr>
      <w:r>
        <w:t xml:space="preserve">Le temps de chargement initial (LCP) est inférieur à 2,5 secondes sur 4G</w:t>
      </w:r>
    </w:p>
    <w:p>
      <w:pPr>
        <w:pStyle w:val="ListParagraph"/>
        <w:numPr>
          <w:ilvl w:val="0"/>
          <w:numId w:val="3"/>
        </w:numPr>
        <w:spacing w:after="80"/>
      </w:pPr>
      <w:r>
        <w:t xml:space="preserve">Les contenus légaux sont vérifiés par au moins un expert en immigration avant publication</w:t>
      </w:r>
    </w:p>
    <w:p>
      <w:pPr>
        <w:pStyle w:val="ListParagraph"/>
        <w:numPr>
          <w:ilvl w:val="0"/>
          <w:numId w:val="3"/>
        </w:numPr>
        <w:spacing w:after="80"/>
      </w:pPr>
      <w:r>
        <w:t xml:space="preserve">La plateforme est disponible en français et en anglais au lancement, avec 5 autres langues à 6 mois</w:t>
      </w:r>
    </w:p>
    <w:p>
      <w:pPr>
        <w:pStyle w:val="ListParagraph"/>
        <w:numPr>
          <w:ilvl w:val="0"/>
          <w:numId w:val="3"/>
        </w:numPr>
        <w:spacing w:after="80"/>
      </w:pPr>
      <w:r>
        <w:t xml:space="preserve">Le taux de complétion de l'onboarding est supérieur à 70% dans les tests utilisateurs</w:t>
      </w:r>
    </w:p>
    <w:p>
      <w:r>
        <w:t xml:space="preserve"/>
      </w:r>
    </w:p>
    <w:p>
      <w:pPr>
        <w:pStyle w:val="Heading2"/>
      </w:pPr>
      <w:r>
        <w:t xml:space="preserve">13.2 Definition of Done (DoD) — Standard de qualité</w:t>
      </w:r>
    </w:p>
    <w:p>
      <w:pPr>
        <w:pStyle w:val="ListParagraph"/>
        <w:numPr>
          <w:ilvl w:val="0"/>
          <w:numId w:val="2"/>
        </w:numPr>
        <w:spacing w:after="80"/>
      </w:pPr>
      <w:r>
        <w:t xml:space="preserve">Code revu par au moins un pair (pull request approuvée)</w:t>
      </w:r>
    </w:p>
    <w:p>
      <w:pPr>
        <w:pStyle w:val="ListParagraph"/>
        <w:numPr>
          <w:ilvl w:val="0"/>
          <w:numId w:val="2"/>
        </w:numPr>
        <w:spacing w:after="80"/>
      </w:pPr>
      <w:r>
        <w:t xml:space="preserve">Tests unitaires avec couverture &gt; 80% pour les fonctions critiques</w:t>
      </w:r>
    </w:p>
    <w:p>
      <w:pPr>
        <w:pStyle w:val="ListParagraph"/>
        <w:numPr>
          <w:ilvl w:val="0"/>
          <w:numId w:val="2"/>
        </w:numPr>
        <w:spacing w:after="80"/>
      </w:pPr>
      <w:r>
        <w:t xml:space="preserve">Tests d'intégration passés sur l'environnement staging</w:t>
      </w:r>
    </w:p>
    <w:p>
      <w:pPr>
        <w:pStyle w:val="ListParagraph"/>
        <w:numPr>
          <w:ilvl w:val="0"/>
          <w:numId w:val="2"/>
        </w:numPr>
        <w:spacing w:after="80"/>
      </w:pPr>
      <w:r>
        <w:t xml:space="preserve">Contenu factuel validé par l'équipe éditoriale et sourcé avec lien gouvernemental</w:t>
      </w:r>
    </w:p>
    <w:p>
      <w:pPr>
        <w:pStyle w:val="ListParagraph"/>
        <w:numPr>
          <w:ilvl w:val="0"/>
          <w:numId w:val="2"/>
        </w:numPr>
        <w:spacing w:after="80"/>
      </w:pPr>
      <w:r>
        <w:t xml:space="preserve">Design conforme au système de design approuvé (Figma tokens)</w:t>
      </w:r>
    </w:p>
    <w:p>
      <w:pPr>
        <w:pStyle w:val="ListParagraph"/>
        <w:numPr>
          <w:ilvl w:val="0"/>
          <w:numId w:val="2"/>
        </w:numPr>
        <w:spacing w:after="80"/>
      </w:pPr>
      <w:r>
        <w:t xml:space="preserve">Accessibilité WCAG 2.1 AA vérifiée (axe, Lighthouse)</w:t>
      </w:r>
    </w:p>
    <w:p>
      <w:pPr>
        <w:pStyle w:val="ListParagraph"/>
        <w:numPr>
          <w:ilvl w:val="0"/>
          <w:numId w:val="2"/>
        </w:numPr>
        <w:spacing w:after="80"/>
      </w:pPr>
      <w:r>
        <w:t xml:space="preserve">Traduit dans toutes les langues actives avant déploiement</w:t>
      </w:r>
    </w:p>
    <w:p>
      <w:pPr>
        <w:pStyle w:val="ListParagraph"/>
        <w:numPr>
          <w:ilvl w:val="0"/>
          <w:numId w:val="2"/>
        </w:numPr>
        <w:spacing w:after="80"/>
      </w:pPr>
      <w:r>
        <w:t xml:space="preserve">Métriques d'analytics instrumentées pour la fonctionnalité</w:t>
      </w:r>
    </w:p>
    <w:p>
      <w:pPr>
        <w:spacing w:before="400"/>
      </w:pPr>
      <w:r>
        <w:br w:type="page"/>
      </w:r>
    </w:p>
    <w:p>
      <w:pPr>
        <w:pStyle w:val="Heading1"/>
      </w:pPr>
      <w:r>
        <w:t xml:space="preserve">14. Annexes</w:t>
      </w:r>
    </w:p>
    <w:p>
      <w:pPr>
        <w:pStyle w:val="Heading2"/>
      </w:pPr>
      <w:r>
        <w:t xml:space="preserve">14.1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RP</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Résidence Permanente — Statut donnant le droit de vivre et travailler au Canada indéfiniment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PGWP</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Post-Graduation Work Permit — Permis de travail ouvert après l'obtention d'un diplôme canadien</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LMIA</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Labour Market Impact Assessment — Étude d'impact sur le marché du travail, requis pour les permis fermés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CRS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Comprehensive Ranking System — Système de points pour Entrée Express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PNP</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Programme des Nominés Provinciaux — Voie d'immigration via les provinces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IRCC</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Immigration, Réfugiés et Citoyenneté Canada — Ministère fédéral de l'immigration</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NAS / SIN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Numéro d'Assurance Sociale — Identifiant fiscal et social au Canada</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RAMQ</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Régie de l'Assurance Maladie du Québec — Assurance-maladie publique du Québec</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OHIP</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Ontario Health Insurance Plan — Assurance-maladie de l'Ontario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LPRPDE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Loi sur la Protection des Renseignements Personnels et les Documents Électroniques — Loi fédérale sur la vie privée</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DLI</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Designated Learning Institution — Établissement désigné pouvant accueillir des étudiants étrangers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MAU</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Monthly Active Users — Utilisateurs actifs mensuels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MRR</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Monthly Recurring Revenue — Revenu mensuel récurrent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LTV</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sz w:val="20"/>
                <w:szCs w:val="20"/>
              </w:rPr>
              <w:t xml:space="preserve">Lifetime Value — Valeur vie client</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sz w:val="20"/>
                <w:szCs w:val="20"/>
              </w:rPr>
              <w:t xml:space="preserve">CAC</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sz w:val="20"/>
                <w:szCs w:val="20"/>
              </w:rPr>
              <w:t xml:space="preserve">Customer Acquisition Cost — Coût d'acquisition client</w:t>
            </w:r>
          </w:p>
        </w:tc>
      </w:tr>
    </w:tbl>
    <w:p>
      <w:r>
        <w:t xml:space="preserve"/>
      </w:r>
    </w:p>
    <w:p>
      <w:pPr>
        <w:pStyle w:val="Heading2"/>
      </w:pPr>
      <w:r>
        <w:t xml:space="preserve">14.2 Références &amp; Sources</w:t>
      </w:r>
    </w:p>
    <w:p>
      <w:pPr>
        <w:pStyle w:val="ListParagraph"/>
        <w:numPr>
          <w:ilvl w:val="0"/>
          <w:numId w:val="2"/>
        </w:numPr>
        <w:spacing w:after="80"/>
      </w:pPr>
      <w:r>
        <w:t xml:space="preserve">IRCC — Niveaux d'immigration 2024-2026 : canada.ca/fr/immigration-refugies-citoyennete</w:t>
      </w:r>
    </w:p>
    <w:p>
      <w:pPr>
        <w:pStyle w:val="ListParagraph"/>
        <w:numPr>
          <w:ilvl w:val="0"/>
          <w:numId w:val="2"/>
        </w:numPr>
        <w:spacing w:after="80"/>
      </w:pPr>
      <w:r>
        <w:t xml:space="preserve">Statistique Canada — Données sur l'immigration et l'intégration : statcan.gc.ca</w:t>
      </w:r>
    </w:p>
    <w:p>
      <w:pPr>
        <w:pStyle w:val="ListParagraph"/>
        <w:numPr>
          <w:ilvl w:val="0"/>
          <w:numId w:val="2"/>
        </w:numPr>
        <w:spacing w:after="80"/>
      </w:pPr>
      <w:r>
        <w:t xml:space="preserve">Conference Board du Canada — Rapports sur l'intégration économique des immigrants</w:t>
      </w:r>
    </w:p>
    <w:p>
      <w:pPr>
        <w:pStyle w:val="ListParagraph"/>
        <w:numPr>
          <w:ilvl w:val="0"/>
          <w:numId w:val="2"/>
        </w:numPr>
        <w:spacing w:after="80"/>
      </w:pPr>
      <w:r>
        <w:t xml:space="preserve">Équipe de Transition des Immigrants (ETI) — Recherches qualitatives sur les barrières à l'intégration</w:t>
      </w:r>
    </w:p>
    <w:p>
      <w:pPr>
        <w:pStyle w:val="ListParagraph"/>
        <w:numPr>
          <w:ilvl w:val="0"/>
          <w:numId w:val="2"/>
        </w:numPr>
        <w:spacing w:after="80"/>
      </w:pPr>
      <w:r>
        <w:t xml:space="preserve">WES (World Education Services) — Rapports sur la reconnaissance des diplômes étrangers</w:t>
      </w:r>
    </w:p>
    <w:p>
      <w:pPr>
        <w:pStyle w:val="ListParagraph"/>
        <w:numPr>
          <w:ilvl w:val="0"/>
          <w:numId w:val="2"/>
        </w:numPr>
        <w:spacing w:after="80"/>
      </w:pPr>
      <w:r>
        <w:t xml:space="preserve">Rapport annuel COSTI 2023 — Besoins des immigrants en services d'établissement</w:t>
      </w:r>
    </w:p>
    <w:p>
      <w:r>
        <w:t xml:space="preserve"/>
      </w:r>
    </w:p>
    <w:p>
      <w:pPr>
        <w:pStyle w:val="Heading2"/>
      </w:pPr>
      <w:r>
        <w:t xml:space="preserve">14.3 Prochaines étapes recommandées</w:t>
      </w:r>
    </w:p>
    <w:p>
      <w:pPr>
        <w:pStyle w:val="ListParagraph"/>
        <w:numPr>
          <w:ilvl w:val="0"/>
          <w:numId w:val="3"/>
        </w:numPr>
        <w:spacing w:after="80"/>
      </w:pPr>
      <w:r>
        <w:t xml:space="preserve">Valider les hypothèses produit avec 20-30 entretiens utilisateurs ciblant les 4 personas</w:t>
      </w:r>
    </w:p>
    <w:p>
      <w:pPr>
        <w:pStyle w:val="ListParagraph"/>
        <w:numPr>
          <w:ilvl w:val="0"/>
          <w:numId w:val="3"/>
        </w:numPr>
        <w:spacing w:after="80"/>
      </w:pPr>
      <w:r>
        <w:t xml:space="preserve">Constituer le comité consultatif (avocat immigration, conseiller fiscal, travailleur social communautaire)</w:t>
      </w:r>
    </w:p>
    <w:p>
      <w:pPr>
        <w:pStyle w:val="ListParagraph"/>
        <w:numPr>
          <w:ilvl w:val="0"/>
          <w:numId w:val="3"/>
        </w:numPr>
        <w:spacing w:after="80"/>
      </w:pPr>
      <w:r>
        <w:t xml:space="preserve">Développer les maquettes haute-fidélité du flux d'onboarding pour test utilisateur</w:t>
      </w:r>
    </w:p>
    <w:p>
      <w:pPr>
        <w:pStyle w:val="ListParagraph"/>
        <w:numPr>
          <w:ilvl w:val="0"/>
          <w:numId w:val="3"/>
        </w:numPr>
        <w:spacing w:after="80"/>
      </w:pPr>
      <w:r>
        <w:t xml:space="preserve">Identifier et approcher les 5 partenaires institutionnels pilotes (2 universités, 2 OSBL, 1 employeur)</w:t>
      </w:r>
    </w:p>
    <w:p>
      <w:pPr>
        <w:pStyle w:val="ListParagraph"/>
        <w:numPr>
          <w:ilvl w:val="0"/>
          <w:numId w:val="3"/>
        </w:numPr>
        <w:spacing w:after="80"/>
      </w:pPr>
      <w:r>
        <w:t xml:space="preserve">Préparer le pitch deck investisseurs et commencer la prospection Seed</w:t>
      </w:r>
    </w:p>
    <w:p>
      <w:pPr>
        <w:pStyle w:val="ListParagraph"/>
        <w:numPr>
          <w:ilvl w:val="0"/>
          <w:numId w:val="3"/>
        </w:numPr>
        <w:spacing w:after="80"/>
      </w:pPr>
      <w:r>
        <w:t xml:space="preserve">Démarrer la veille concurrentielle et SEO pour identifier les opportunités de contenu prioritaires</w:t>
      </w:r>
    </w:p>
    <w:p>
      <w:pPr>
        <w:pStyle w:val="ListParagraph"/>
        <w:numPr>
          <w:ilvl w:val="0"/>
          <w:numId w:val="3"/>
        </w:numPr>
        <w:spacing w:after="80"/>
      </w:pPr>
      <w:r>
        <w:t xml:space="preserve">Construire un MVP no-code (Webflow + Notion + Typeform) pour valider la rétention avant le développement full-stack</w:t>
      </w:r>
    </w:p>
    <w:p>
      <w:r>
        <w:t xml:space="preserve"/>
      </w:r>
    </w:p>
    <w:p>
      <w:r>
        <w:t xml:space="preserve"/>
      </w:r>
    </w:p>
    <w:p>
      <w:pPr>
        <w:pBdr>
          <w:bottom w:val="single" w:color="1A5276" w:sz="4" w:space="1"/>
        </w:pBdr>
        <w:spacing w:after="200" w:before="200"/>
      </w:pPr>
      <w:r>
        <w:t xml:space="preserve"/>
      </w:r>
    </w:p>
    <w:p>
      <w:pPr>
        <w:spacing w:before="200" w:after="120"/>
        <w:jc w:val="center"/>
      </w:pPr>
      <w:r>
        <w:rPr>
          <w:b/>
          <w:bCs/>
          <w:i/>
          <w:iCs/>
          <w:color w:val="1A5276"/>
          <w:sz w:val="24"/>
          <w:szCs w:val="24"/>
        </w:rPr>
        <w:t xml:space="preserve">NouveauCap — "Le Canada commence ici."</w:t>
      </w:r>
    </w:p>
    <w:p>
      <w:pPr>
        <w:jc w:val="center"/>
      </w:pPr>
      <w:r>
        <w:rPr>
          <w:color w:val="888888"/>
          <w:sz w:val="16"/>
          <w:szCs w:val="16"/>
        </w:rPr>
        <w:t xml:space="preserve">Ce document est confidentiel. Toute reproduction ou diffusion sans autorisation est interdite.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pPr>
    <w:r>
      <w:rPr>
        <w:color w:val="888888"/>
        <w:sz w:val="16"/>
        <w:szCs w:val="16"/>
      </w:rPr>
      <w:t xml:space="preserve">© 2025 NouveauCap Inc. — Document Confidentiel</w:t>
    </w:r>
    <w:r>
      <w:rPr>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026"/>
      </w:tabs>
    </w:pPr>
    <w:r>
      <w:rPr>
        <w:b/>
        <w:bCs/>
        <w:color w:val="1A5276"/>
        <w:sz w:val="18"/>
        <w:szCs w:val="18"/>
      </w:rPr>
      <w:t xml:space="preserve">NouveauCap — Cahier des Charges (PRD)</w:t>
    </w:r>
    <w:r>
      <w:rPr>
        <w:color w:val="888888"/>
        <w:sz w:val="16"/>
        <w:szCs w:val="16"/>
      </w:rPr>
      <w:t xml:space="preserve">		Version 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276" w:sz="6" w:space="1"/>
      </w:pBd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161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2026-02-20T23:19:58.463Z</dcterms:created>
  <dcterms:modified xsi:type="dcterms:W3CDTF">2026-02-20T23:19:58.464Z</dcterms:modified>
</cp:coreProperties>
</file>

<file path=docProps/custom.xml><?xml version="1.0" encoding="utf-8"?>
<Properties xmlns="http://schemas.openxmlformats.org/officeDocument/2006/custom-properties" xmlns:vt="http://schemas.openxmlformats.org/officeDocument/2006/docPropsVTypes"/>
</file>