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927"/>
        <w:gridCol w:w="6476"/>
      </w:tblGrid>
      <w:tr w:rsidR="00903760" w:rsidRPr="005529D4" w:rsidTr="00A01865">
        <w:trPr>
          <w:trHeight w:val="926"/>
        </w:trPr>
        <w:tc>
          <w:tcPr>
            <w:tcW w:w="1927" w:type="dxa"/>
            <w:vMerge w:val="restart"/>
          </w:tcPr>
          <w:p w:rsidR="00903760" w:rsidRPr="005529D4" w:rsidRDefault="00903760" w:rsidP="00A01865">
            <w:pPr>
              <w:widowControl/>
              <w:jc w:val="left"/>
              <w:rPr>
                <w:rFonts w:ascii="宋体" w:hAnsi="宋体"/>
                <w:kern w:val="0"/>
                <w:sz w:val="20"/>
                <w:szCs w:val="20"/>
              </w:rPr>
            </w:pPr>
            <w:r>
              <w:rPr>
                <w:rFonts w:ascii="宋体" w:hAnsi="宋体" w:cs="Arial"/>
                <w:noProof/>
                <w:sz w:val="26"/>
                <w:szCs w:val="26"/>
              </w:rPr>
              <w:drawing>
                <wp:inline distT="0" distB="0" distL="0" distR="0">
                  <wp:extent cx="1000125" cy="10001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476" w:type="dxa"/>
            <w:vAlign w:val="center"/>
          </w:tcPr>
          <w:p w:rsidR="00903760" w:rsidRPr="005529D4" w:rsidRDefault="00903760" w:rsidP="00A01865">
            <w:pPr>
              <w:widowControl/>
              <w:jc w:val="center"/>
              <w:rPr>
                <w:rFonts w:ascii="方正姚体" w:eastAsia="方正姚体" w:hAnsi="宋体"/>
                <w:b/>
                <w:kern w:val="0"/>
                <w:sz w:val="46"/>
                <w:szCs w:val="32"/>
              </w:rPr>
            </w:pPr>
            <w:r w:rsidRPr="005529D4">
              <w:rPr>
                <w:rFonts w:ascii="方正姚体" w:eastAsia="方正姚体" w:hAnsi="宋体" w:cs="Arial" w:hint="eastAsia"/>
                <w:b/>
                <w:sz w:val="46"/>
                <w:szCs w:val="36"/>
              </w:rPr>
              <w:t>华中农业大学</w:t>
            </w:r>
          </w:p>
        </w:tc>
      </w:tr>
      <w:tr w:rsidR="00903760" w:rsidRPr="00376E22" w:rsidTr="00A01865">
        <w:tc>
          <w:tcPr>
            <w:tcW w:w="1927" w:type="dxa"/>
            <w:vMerge/>
          </w:tcPr>
          <w:p w:rsidR="00903760" w:rsidRPr="005529D4" w:rsidRDefault="00903760" w:rsidP="00A01865">
            <w:pPr>
              <w:widowControl/>
              <w:jc w:val="left"/>
              <w:rPr>
                <w:rFonts w:ascii="宋体" w:hAnsi="宋体"/>
                <w:kern w:val="0"/>
                <w:sz w:val="20"/>
                <w:szCs w:val="20"/>
              </w:rPr>
            </w:pPr>
          </w:p>
        </w:tc>
        <w:tc>
          <w:tcPr>
            <w:tcW w:w="6476" w:type="dxa"/>
            <w:vAlign w:val="center"/>
          </w:tcPr>
          <w:p w:rsidR="00903760" w:rsidRPr="00376E22" w:rsidRDefault="00376E22" w:rsidP="00376E22">
            <w:pPr>
              <w:widowControl/>
              <w:jc w:val="center"/>
              <w:rPr>
                <w:rFonts w:cs="Arial"/>
                <w:b/>
                <w:bCs/>
                <w:sz w:val="32"/>
                <w:szCs w:val="32"/>
              </w:rPr>
            </w:pPr>
            <w:r w:rsidRPr="00376E22">
              <w:rPr>
                <w:rStyle w:val="a5"/>
                <w:rFonts w:cs="Arial" w:hint="eastAsia"/>
                <w:sz w:val="32"/>
                <w:szCs w:val="32"/>
              </w:rPr>
              <w:t>201</w:t>
            </w:r>
            <w:r w:rsidR="008321CC">
              <w:rPr>
                <w:rStyle w:val="a5"/>
                <w:rFonts w:cs="Arial"/>
                <w:sz w:val="32"/>
                <w:szCs w:val="32"/>
              </w:rPr>
              <w:t>9</w:t>
            </w:r>
            <w:bookmarkStart w:id="0" w:name="_GoBack"/>
            <w:bookmarkEnd w:id="0"/>
            <w:r w:rsidRPr="00376E22">
              <w:rPr>
                <w:rStyle w:val="a5"/>
                <w:rFonts w:cs="Arial" w:hint="eastAsia"/>
                <w:sz w:val="32"/>
                <w:szCs w:val="32"/>
              </w:rPr>
              <w:t>年食品科技学院研究生入学</w:t>
            </w:r>
            <w:r w:rsidR="00903760" w:rsidRPr="00376E22">
              <w:rPr>
                <w:rStyle w:val="a5"/>
                <w:rFonts w:cs="Arial" w:hint="eastAsia"/>
                <w:sz w:val="32"/>
                <w:szCs w:val="32"/>
              </w:rPr>
              <w:t>复试</w:t>
            </w:r>
            <w:r w:rsidRPr="00376E22">
              <w:rPr>
                <w:rStyle w:val="a5"/>
                <w:rFonts w:cs="Arial" w:hint="eastAsia"/>
                <w:sz w:val="32"/>
                <w:szCs w:val="32"/>
              </w:rPr>
              <w:t>面</w:t>
            </w:r>
            <w:r w:rsidR="00903760" w:rsidRPr="00376E22">
              <w:rPr>
                <w:rStyle w:val="a5"/>
                <w:rFonts w:cs="Arial" w:hint="eastAsia"/>
                <w:sz w:val="32"/>
                <w:szCs w:val="32"/>
              </w:rPr>
              <w:t>试</w:t>
            </w:r>
            <w:r w:rsidRPr="00376E22">
              <w:rPr>
                <w:rStyle w:val="a5"/>
                <w:rFonts w:cs="Arial" w:hint="eastAsia"/>
                <w:sz w:val="32"/>
                <w:szCs w:val="32"/>
              </w:rPr>
              <w:t>题</w:t>
            </w:r>
          </w:p>
        </w:tc>
      </w:tr>
    </w:tbl>
    <w:p w:rsidR="0031292A" w:rsidRPr="00C045B8" w:rsidRDefault="00E75DBB" w:rsidP="00C045B8">
      <w:pPr>
        <w:jc w:val="center"/>
        <w:rPr>
          <w:b/>
          <w:sz w:val="24"/>
        </w:rPr>
      </w:pPr>
      <w:r>
        <w:rPr>
          <w:rFonts w:hint="eastAsia"/>
          <w:b/>
          <w:sz w:val="24"/>
        </w:rPr>
        <w:t xml:space="preserve">      </w:t>
      </w:r>
      <w:r w:rsidR="007430AE">
        <w:rPr>
          <w:rFonts w:hint="eastAsia"/>
          <w:b/>
          <w:sz w:val="24"/>
        </w:rPr>
        <w:t xml:space="preserve"> </w:t>
      </w:r>
      <w:r w:rsidR="00903760" w:rsidRPr="00376E22">
        <w:rPr>
          <w:rFonts w:hint="eastAsia"/>
          <w:b/>
          <w:sz w:val="24"/>
        </w:rPr>
        <w:t>考生姓名</w:t>
      </w:r>
      <w:r w:rsidR="00E54E9B">
        <w:rPr>
          <w:b/>
          <w:sz w:val="24"/>
        </w:rPr>
        <w:t xml:space="preserve"> </w:t>
      </w:r>
      <w:r>
        <w:rPr>
          <w:b/>
          <w:sz w:val="24"/>
          <w:u w:val="single"/>
        </w:rPr>
        <w:t>Frank</w:t>
      </w:r>
      <w:r w:rsidR="00376E22">
        <w:rPr>
          <w:rFonts w:hint="eastAsia"/>
          <w:b/>
          <w:sz w:val="24"/>
        </w:rPr>
        <w:t xml:space="preserve"> </w:t>
      </w:r>
      <w:r w:rsidR="00903760" w:rsidRPr="00376E22">
        <w:rPr>
          <w:rFonts w:hint="eastAsia"/>
          <w:b/>
          <w:sz w:val="24"/>
        </w:rPr>
        <w:t xml:space="preserve"> </w:t>
      </w:r>
      <w:r w:rsidR="0065220B">
        <w:rPr>
          <w:rFonts w:hint="eastAsia"/>
          <w:b/>
          <w:sz w:val="24"/>
        </w:rPr>
        <w:t xml:space="preserve">  </w:t>
      </w:r>
      <w:r w:rsidR="00376E22" w:rsidRPr="00376E22">
        <w:rPr>
          <w:rFonts w:hint="eastAsia"/>
          <w:b/>
          <w:sz w:val="24"/>
        </w:rPr>
        <w:t>考生类别</w:t>
      </w:r>
      <w:r w:rsidR="00E54E9B">
        <w:rPr>
          <w:b/>
          <w:sz w:val="24"/>
        </w:rPr>
        <w:t xml:space="preserve"> </w:t>
      </w:r>
      <w:r>
        <w:rPr>
          <w:b/>
          <w:sz w:val="24"/>
          <w:u w:val="single"/>
        </w:rPr>
        <w:t>专硕</w:t>
      </w:r>
    </w:p>
    <w:p w:rsidR="0045501F" w:rsidRPr="0045501F" w:rsidRDefault="0045501F" w:rsidP="0045501F">
      <w:pPr>
        <w:jc w:val="center"/>
        <w:rPr>
          <w:b/>
          <w:sz w:val="44"/>
        </w:rPr>
      </w:pPr>
      <w:r w:rsidRPr="0045501F">
        <w:rPr>
          <w:rFonts w:hint="eastAsia"/>
          <w:b/>
          <w:sz w:val="44"/>
        </w:rPr>
        <w:t>试题编号</w:t>
      </w:r>
      <w:r>
        <w:rPr>
          <w:rFonts w:hint="eastAsia"/>
          <w:b/>
          <w:sz w:val="44"/>
        </w:rPr>
        <w:t>：</w:t>
      </w:r>
      <w:r>
        <w:rPr>
          <w:b/>
          <w:sz w:val="44"/>
        </w:rPr>
        <w:t>10</w:t>
      </w:r>
    </w:p>
    <w:p w:rsidR="00376E22" w:rsidRDefault="00376E22" w:rsidP="00903760">
      <w:pPr>
        <w:jc w:val="left"/>
        <w:rPr>
          <w:b/>
          <w:sz w:val="24"/>
        </w:rPr>
      </w:pPr>
    </w:p>
    <w:tbl>
      <w:tblPr>
        <w:tblStyle w:val="aa"/>
        <w:tblW w:w="9258" w:type="dxa"/>
        <w:shd w:val="clear" w:color="auto" w:fill="FFFFFF" w:themeFill="background1"/>
        <w:tblLook w:val="04A0" w:firstRow="1" w:lastRow="0" w:firstColumn="1" w:lastColumn="0" w:noHBand="0" w:noVBand="1"/>
      </w:tblPr>
      <w:tblGrid>
        <w:gridCol w:w="926"/>
        <w:gridCol w:w="8332"/>
      </w:tblGrid>
      <w:tr w:rsidR="00376E22" w:rsidTr="0070475F">
        <w:trPr>
          <w:trHeight w:val="2037"/>
        </w:trPr>
        <w:tc>
          <w:tcPr>
            <w:tcW w:w="926" w:type="dxa"/>
            <w:shd w:val="clear" w:color="auto" w:fill="FFFFFF" w:themeFill="background1"/>
            <w:vAlign w:val="center"/>
          </w:tcPr>
          <w:p w:rsidR="00376E22" w:rsidRPr="00376E22" w:rsidRDefault="0045501F" w:rsidP="0070475F">
            <w:pPr>
              <w:jc w:val="center"/>
              <w:rPr>
                <w:b/>
                <w:sz w:val="48"/>
                <w:szCs w:val="48"/>
              </w:rPr>
            </w:pPr>
            <w:r>
              <w:rPr>
                <w:rFonts w:hint="eastAsia"/>
                <w:b/>
                <w:sz w:val="48"/>
                <w:szCs w:val="48"/>
              </w:rPr>
              <w:t>翻译</w:t>
            </w:r>
          </w:p>
        </w:tc>
        <w:tc>
          <w:tcPr>
            <w:tcW w:w="8332" w:type="dxa"/>
            <w:shd w:val="clear" w:color="auto" w:fill="FFFFFF" w:themeFill="background1"/>
            <w:vAlign w:val="center"/>
          </w:tcPr>
          <w:p w:rsidR="00376E22" w:rsidRPr="00064C60" w:rsidRDefault="0073542D" w:rsidP="00903760">
            <w:pPr>
              <w:jc w:val="left"/>
              <w:rPr>
                <w:sz w:val="24"/>
              </w:rPr>
            </w:pPr>
            <w:r>
              <w:rPr>
                <w:sz w:val="24"/>
              </w:rPr>
              <w:t>The properties of modified potato and sweet potato flours have been determined by acetylation（乙酰化）and by treating with enzymatic modification. Fractionation（分馏法）studies showed that the content of high molecular weight fraction decreased, with a proportionate increase in the lower molecular weight carbohydrate fraction, whereas FT-IR（红外光谱）indicated changes in crystallinity of the modified starches. The data showed that the degradation of starch is dependent on the type of modification.</w:t>
            </w:r>
          </w:p>
        </w:tc>
      </w:tr>
      <w:tr w:rsidR="00376E22" w:rsidTr="0070475F">
        <w:trPr>
          <w:trHeight w:val="2141"/>
        </w:trPr>
        <w:tc>
          <w:tcPr>
            <w:tcW w:w="926" w:type="dxa"/>
            <w:shd w:val="clear" w:color="auto" w:fill="FFFFFF" w:themeFill="background1"/>
            <w:vAlign w:val="center"/>
          </w:tcPr>
          <w:p w:rsidR="00376E22" w:rsidRPr="00376E22" w:rsidRDefault="00BF1ACF" w:rsidP="0070475F">
            <w:pPr>
              <w:jc w:val="center"/>
              <w:rPr>
                <w:b/>
                <w:sz w:val="48"/>
                <w:szCs w:val="48"/>
              </w:rPr>
            </w:pPr>
            <w:r>
              <w:rPr>
                <w:rFonts w:hint="eastAsia"/>
                <w:b/>
                <w:sz w:val="48"/>
                <w:szCs w:val="48"/>
              </w:rPr>
              <w:t>1</w:t>
            </w:r>
          </w:p>
        </w:tc>
        <w:tc>
          <w:tcPr>
            <w:tcW w:w="8332" w:type="dxa"/>
            <w:shd w:val="clear" w:color="auto" w:fill="FFFFFF" w:themeFill="background1"/>
            <w:vAlign w:val="center"/>
          </w:tcPr>
          <w:p w:rsidR="00376E22" w:rsidRPr="00064C60" w:rsidRDefault="008F04E9" w:rsidP="00903760">
            <w:pPr>
              <w:jc w:val="left"/>
              <w:rPr>
                <w:sz w:val="24"/>
              </w:rPr>
            </w:pPr>
            <w:r>
              <w:rPr>
                <w:sz w:val="24"/>
              </w:rPr>
              <w:t>清水面牛奶在板式换热器中的流体流动类型有哪些，如何判定，为什么？</w:t>
              <w:br/>
              <w:t>流体的流动类型有层流和湍流。</w:t>
              <w:br/>
              <w:t/>
            </w:r>
          </w:p>
        </w:tc>
      </w:tr>
      <w:tr w:rsidR="00376E22" w:rsidTr="0070475F">
        <w:trPr>
          <w:trHeight w:val="1801"/>
        </w:trPr>
        <w:tc>
          <w:tcPr>
            <w:tcW w:w="926" w:type="dxa"/>
            <w:shd w:val="clear" w:color="auto" w:fill="FFFFFF" w:themeFill="background1"/>
            <w:vAlign w:val="center"/>
          </w:tcPr>
          <w:p w:rsidR="00376E22" w:rsidRPr="00376E22" w:rsidRDefault="00BF1ACF" w:rsidP="0070475F">
            <w:pPr>
              <w:jc w:val="center"/>
              <w:rPr>
                <w:b/>
                <w:sz w:val="48"/>
                <w:szCs w:val="48"/>
              </w:rPr>
            </w:pPr>
            <w:r>
              <w:rPr>
                <w:rFonts w:hint="eastAsia"/>
                <w:b/>
                <w:sz w:val="48"/>
                <w:szCs w:val="48"/>
              </w:rPr>
              <w:t>2</w:t>
            </w:r>
          </w:p>
        </w:tc>
        <w:tc>
          <w:tcPr>
            <w:tcW w:w="8332" w:type="dxa"/>
            <w:shd w:val="clear" w:color="auto" w:fill="FFFFFF" w:themeFill="background1"/>
            <w:vAlign w:val="center"/>
          </w:tcPr>
          <w:p w:rsidR="00376E22" w:rsidRPr="00064C60" w:rsidRDefault="000321FF" w:rsidP="00903760">
            <w:pPr>
              <w:jc w:val="left"/>
              <w:rPr>
                <w:sz w:val="24"/>
              </w:rPr>
            </w:pPr>
            <w:r>
              <w:rPr>
                <w:sz w:val="24"/>
              </w:rPr>
              <w:t>莲藕、梨、苹果果蔬加工忌使用铁质容器，为什么？</w:t>
            </w:r>
          </w:p>
        </w:tc>
      </w:tr>
      <w:tr w:rsidR="00376E22" w:rsidTr="0070475F">
        <w:trPr>
          <w:trHeight w:val="1920"/>
        </w:trPr>
        <w:tc>
          <w:tcPr>
            <w:tcW w:w="926" w:type="dxa"/>
            <w:shd w:val="clear" w:color="auto" w:fill="FFFFFF" w:themeFill="background1"/>
            <w:vAlign w:val="center"/>
          </w:tcPr>
          <w:p w:rsidR="00376E22" w:rsidRPr="00376E22" w:rsidRDefault="00BF1ACF" w:rsidP="0070475F">
            <w:pPr>
              <w:jc w:val="center"/>
              <w:rPr>
                <w:b/>
                <w:sz w:val="48"/>
                <w:szCs w:val="48"/>
              </w:rPr>
            </w:pPr>
            <w:r>
              <w:rPr>
                <w:rFonts w:hint="eastAsia"/>
                <w:b/>
                <w:sz w:val="48"/>
                <w:szCs w:val="48"/>
              </w:rPr>
              <w:t>3</w:t>
            </w:r>
          </w:p>
        </w:tc>
        <w:tc>
          <w:tcPr>
            <w:tcW w:w="8332" w:type="dxa"/>
            <w:shd w:val="clear" w:color="auto" w:fill="FFFFFF" w:themeFill="background1"/>
            <w:vAlign w:val="center"/>
          </w:tcPr>
          <w:p w:rsidR="00376E22" w:rsidRPr="00064C60" w:rsidRDefault="000321FF" w:rsidP="00903760">
            <w:pPr>
              <w:jc w:val="left"/>
              <w:rPr>
                <w:sz w:val="24"/>
              </w:rPr>
            </w:pPr>
            <w:r>
              <w:rPr>
                <w:sz w:val="24"/>
              </w:rPr>
              <w:t>说出三种蛋白质沉淀的方法，并说明其原理</w:t>
            </w:r>
          </w:p>
        </w:tc>
      </w:tr>
      <w:tr w:rsidR="00376E22" w:rsidTr="0070475F">
        <w:trPr>
          <w:trHeight w:val="2102"/>
        </w:trPr>
        <w:tc>
          <w:tcPr>
            <w:tcW w:w="926" w:type="dxa"/>
            <w:shd w:val="clear" w:color="auto" w:fill="FFFFFF" w:themeFill="background1"/>
            <w:vAlign w:val="center"/>
          </w:tcPr>
          <w:p w:rsidR="00376E22" w:rsidRPr="00376E22" w:rsidRDefault="00BF1ACF" w:rsidP="0070475F">
            <w:pPr>
              <w:jc w:val="center"/>
              <w:rPr>
                <w:b/>
                <w:sz w:val="48"/>
                <w:szCs w:val="48"/>
              </w:rPr>
            </w:pPr>
            <w:r>
              <w:rPr>
                <w:rFonts w:hint="eastAsia"/>
                <w:b/>
                <w:sz w:val="48"/>
                <w:szCs w:val="48"/>
              </w:rPr>
              <w:t>4</w:t>
            </w:r>
          </w:p>
        </w:tc>
        <w:tc>
          <w:tcPr>
            <w:tcW w:w="8332" w:type="dxa"/>
            <w:shd w:val="clear" w:color="auto" w:fill="FFFFFF" w:themeFill="background1"/>
            <w:vAlign w:val="center"/>
          </w:tcPr>
          <w:p w:rsidR="00376E22" w:rsidRPr="00064C60" w:rsidRDefault="000321FF" w:rsidP="00903760">
            <w:pPr>
              <w:jc w:val="left"/>
              <w:rPr>
                <w:sz w:val="24"/>
              </w:rPr>
            </w:pPr>
            <w:r>
              <w:rPr>
                <w:sz w:val="24"/>
              </w:rPr>
              <w:t>为什么将大肠菌群列为饮用水的安全检测指标？</w:t>
            </w:r>
          </w:p>
        </w:tc>
      </w:tr>
    </w:tbl>
    <w:p w:rsidR="00F90C21" w:rsidRPr="00F90C21" w:rsidRDefault="00F90C21" w:rsidP="00F90C21">
      <w:pPr>
        <w:jc w:val="left"/>
        <w:rPr>
          <w:b/>
          <w:sz w:val="24"/>
        </w:rPr>
      </w:pPr>
      <w:r>
        <w:rPr>
          <w:rFonts w:hint="eastAsia"/>
          <w:b/>
          <w:sz w:val="24"/>
        </w:rPr>
        <w:t>备注：</w:t>
      </w:r>
      <w:r w:rsidRPr="00F90C21">
        <w:rPr>
          <w:rFonts w:hint="eastAsia"/>
          <w:b/>
          <w:sz w:val="24"/>
        </w:rPr>
        <w:t>学术型硕士</w:t>
      </w:r>
      <w:r w:rsidR="00BF1ACF">
        <w:rPr>
          <w:rFonts w:hint="eastAsia"/>
          <w:b/>
          <w:sz w:val="24"/>
        </w:rPr>
        <w:t>1</w:t>
      </w:r>
      <w:r w:rsidRPr="00F90C21">
        <w:rPr>
          <w:rFonts w:hint="eastAsia"/>
          <w:b/>
          <w:sz w:val="24"/>
        </w:rPr>
        <w:t>和</w:t>
      </w:r>
      <w:r w:rsidR="00BF1ACF">
        <w:rPr>
          <w:rFonts w:hint="eastAsia"/>
          <w:b/>
          <w:sz w:val="24"/>
        </w:rPr>
        <w:t>2</w:t>
      </w:r>
      <w:r w:rsidRPr="00F90C21">
        <w:rPr>
          <w:rFonts w:hint="eastAsia"/>
          <w:b/>
          <w:sz w:val="24"/>
        </w:rPr>
        <w:t>是必答题；再从</w:t>
      </w:r>
      <w:r w:rsidR="00BF1ACF">
        <w:rPr>
          <w:rFonts w:hint="eastAsia"/>
          <w:b/>
          <w:sz w:val="24"/>
        </w:rPr>
        <w:t>3</w:t>
      </w:r>
      <w:r w:rsidRPr="00F90C21">
        <w:rPr>
          <w:rFonts w:hint="eastAsia"/>
          <w:b/>
          <w:sz w:val="24"/>
        </w:rPr>
        <w:t>和</w:t>
      </w:r>
      <w:r w:rsidR="00BF1ACF">
        <w:rPr>
          <w:rFonts w:hint="eastAsia"/>
          <w:b/>
          <w:sz w:val="24"/>
        </w:rPr>
        <w:t>4</w:t>
      </w:r>
      <w:r w:rsidRPr="00F90C21">
        <w:rPr>
          <w:rFonts w:hint="eastAsia"/>
          <w:b/>
          <w:sz w:val="24"/>
        </w:rPr>
        <w:t>中任选一题作答</w:t>
      </w:r>
      <w:r>
        <w:rPr>
          <w:rFonts w:hint="eastAsia"/>
          <w:b/>
          <w:sz w:val="24"/>
        </w:rPr>
        <w:t xml:space="preserve">  </w:t>
      </w:r>
    </w:p>
    <w:p w:rsidR="00376E22" w:rsidRPr="00376E22" w:rsidRDefault="00F90C21" w:rsidP="00F90C21">
      <w:pPr>
        <w:ind w:firstLineChars="300" w:firstLine="723"/>
        <w:jc w:val="left"/>
        <w:rPr>
          <w:b/>
          <w:sz w:val="24"/>
        </w:rPr>
      </w:pPr>
      <w:r w:rsidRPr="00F90C21">
        <w:rPr>
          <w:rFonts w:hint="eastAsia"/>
          <w:b/>
          <w:sz w:val="24"/>
        </w:rPr>
        <w:t>专业型硕士</w:t>
      </w:r>
      <w:r w:rsidR="00BF1ACF">
        <w:rPr>
          <w:rFonts w:hint="eastAsia"/>
          <w:b/>
          <w:sz w:val="24"/>
        </w:rPr>
        <w:t>3</w:t>
      </w:r>
      <w:r w:rsidRPr="00F90C21">
        <w:rPr>
          <w:rFonts w:hint="eastAsia"/>
          <w:b/>
          <w:sz w:val="24"/>
        </w:rPr>
        <w:t>和</w:t>
      </w:r>
      <w:r w:rsidR="00BF1ACF">
        <w:rPr>
          <w:rFonts w:hint="eastAsia"/>
          <w:b/>
          <w:sz w:val="24"/>
        </w:rPr>
        <w:t>4</w:t>
      </w:r>
      <w:r w:rsidRPr="00F90C21">
        <w:rPr>
          <w:rFonts w:hint="eastAsia"/>
          <w:b/>
          <w:sz w:val="24"/>
        </w:rPr>
        <w:t>是必答题；再从</w:t>
      </w:r>
      <w:r w:rsidR="00BF1ACF">
        <w:rPr>
          <w:rFonts w:hint="eastAsia"/>
          <w:b/>
          <w:sz w:val="24"/>
        </w:rPr>
        <w:t>1</w:t>
      </w:r>
      <w:r w:rsidRPr="00F90C21">
        <w:rPr>
          <w:rFonts w:hint="eastAsia"/>
          <w:b/>
          <w:sz w:val="24"/>
        </w:rPr>
        <w:t>和</w:t>
      </w:r>
      <w:r w:rsidR="00BF1ACF">
        <w:rPr>
          <w:rFonts w:hint="eastAsia"/>
          <w:b/>
          <w:sz w:val="24"/>
        </w:rPr>
        <w:t>2</w:t>
      </w:r>
      <w:r w:rsidRPr="00F90C21">
        <w:rPr>
          <w:rFonts w:hint="eastAsia"/>
          <w:b/>
          <w:sz w:val="24"/>
        </w:rPr>
        <w:t>中任选一题作答</w:t>
      </w:r>
    </w:p>
    <w:sectPr w:rsidR="00376E22" w:rsidRPr="00376E22" w:rsidSect="00EB7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625" w:rsidRDefault="00906625" w:rsidP="00376E22">
      <w:r>
        <w:separator/>
      </w:r>
    </w:p>
  </w:endnote>
  <w:endnote w:type="continuationSeparator" w:id="0">
    <w:p w:rsidR="00906625" w:rsidRDefault="00906625" w:rsidP="0037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625" w:rsidRDefault="00906625" w:rsidP="00376E22">
      <w:r>
        <w:separator/>
      </w:r>
    </w:p>
  </w:footnote>
  <w:footnote w:type="continuationSeparator" w:id="0">
    <w:p w:rsidR="00906625" w:rsidRDefault="00906625" w:rsidP="00376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CFC"/>
    <w:rsid w:val="000321FF"/>
    <w:rsid w:val="00064C60"/>
    <w:rsid w:val="000D4B89"/>
    <w:rsid w:val="0019566E"/>
    <w:rsid w:val="001D4608"/>
    <w:rsid w:val="00212EA3"/>
    <w:rsid w:val="00271BA6"/>
    <w:rsid w:val="00277BF2"/>
    <w:rsid w:val="002875BC"/>
    <w:rsid w:val="002B2316"/>
    <w:rsid w:val="0031292A"/>
    <w:rsid w:val="00376E22"/>
    <w:rsid w:val="00393112"/>
    <w:rsid w:val="0045501F"/>
    <w:rsid w:val="00476421"/>
    <w:rsid w:val="00496A50"/>
    <w:rsid w:val="004B4042"/>
    <w:rsid w:val="004C4EBC"/>
    <w:rsid w:val="00593D05"/>
    <w:rsid w:val="0065220B"/>
    <w:rsid w:val="006D1DC7"/>
    <w:rsid w:val="0070475F"/>
    <w:rsid w:val="00706FEB"/>
    <w:rsid w:val="00731F0B"/>
    <w:rsid w:val="0073542D"/>
    <w:rsid w:val="007430AE"/>
    <w:rsid w:val="00766CFC"/>
    <w:rsid w:val="007A7162"/>
    <w:rsid w:val="007B0FE9"/>
    <w:rsid w:val="008321CC"/>
    <w:rsid w:val="008352B6"/>
    <w:rsid w:val="008F04E9"/>
    <w:rsid w:val="00903760"/>
    <w:rsid w:val="00906625"/>
    <w:rsid w:val="00941F31"/>
    <w:rsid w:val="00944177"/>
    <w:rsid w:val="0098183B"/>
    <w:rsid w:val="00B51D34"/>
    <w:rsid w:val="00BC1002"/>
    <w:rsid w:val="00BF1ACF"/>
    <w:rsid w:val="00C045B8"/>
    <w:rsid w:val="00CB788E"/>
    <w:rsid w:val="00D6601D"/>
    <w:rsid w:val="00DE3852"/>
    <w:rsid w:val="00E54E9B"/>
    <w:rsid w:val="00E75DBB"/>
    <w:rsid w:val="00E8073D"/>
    <w:rsid w:val="00E96E6B"/>
    <w:rsid w:val="00EA5BF1"/>
    <w:rsid w:val="00EB7762"/>
    <w:rsid w:val="00EC63FB"/>
    <w:rsid w:val="00EF37AC"/>
    <w:rsid w:val="00F45221"/>
    <w:rsid w:val="00F46811"/>
    <w:rsid w:val="00F56AD1"/>
    <w:rsid w:val="00F90C21"/>
    <w:rsid w:val="00FD42B7"/>
    <w:rsid w:val="00FE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AC1A"/>
  <w15:docId w15:val="{41E5383E-876B-4B93-A997-BF50747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52B6"/>
    <w:rPr>
      <w:rFonts w:asciiTheme="minorHAnsi" w:eastAsiaTheme="minorEastAsia" w:hAnsiTheme="minorHAnsi" w:cstheme="minorBidi"/>
      <w:sz w:val="18"/>
      <w:szCs w:val="18"/>
    </w:rPr>
  </w:style>
  <w:style w:type="character" w:customStyle="1" w:styleId="a4">
    <w:name w:val="批注框文本 字符"/>
    <w:basedOn w:val="a0"/>
    <w:link w:val="a3"/>
    <w:uiPriority w:val="99"/>
    <w:semiHidden/>
    <w:rsid w:val="008352B6"/>
    <w:rPr>
      <w:sz w:val="18"/>
      <w:szCs w:val="18"/>
    </w:rPr>
  </w:style>
  <w:style w:type="character" w:styleId="a5">
    <w:name w:val="Strong"/>
    <w:basedOn w:val="a0"/>
    <w:qFormat/>
    <w:rsid w:val="00903760"/>
    <w:rPr>
      <w:b/>
      <w:bCs/>
    </w:rPr>
  </w:style>
  <w:style w:type="paragraph" w:styleId="a6">
    <w:name w:val="header"/>
    <w:basedOn w:val="a"/>
    <w:link w:val="a7"/>
    <w:uiPriority w:val="99"/>
    <w:unhideWhenUsed/>
    <w:rsid w:val="00376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6E22"/>
    <w:rPr>
      <w:rFonts w:ascii="Times New Roman" w:eastAsia="宋体" w:hAnsi="Times New Roman" w:cs="Times New Roman"/>
      <w:sz w:val="18"/>
      <w:szCs w:val="18"/>
    </w:rPr>
  </w:style>
  <w:style w:type="paragraph" w:styleId="a8">
    <w:name w:val="footer"/>
    <w:basedOn w:val="a"/>
    <w:link w:val="a9"/>
    <w:uiPriority w:val="99"/>
    <w:unhideWhenUsed/>
    <w:rsid w:val="00376E22"/>
    <w:pPr>
      <w:tabs>
        <w:tab w:val="center" w:pos="4153"/>
        <w:tab w:val="right" w:pos="8306"/>
      </w:tabs>
      <w:snapToGrid w:val="0"/>
      <w:jc w:val="left"/>
    </w:pPr>
    <w:rPr>
      <w:sz w:val="18"/>
      <w:szCs w:val="18"/>
    </w:rPr>
  </w:style>
  <w:style w:type="character" w:customStyle="1" w:styleId="a9">
    <w:name w:val="页脚 字符"/>
    <w:basedOn w:val="a0"/>
    <w:link w:val="a8"/>
    <w:uiPriority w:val="99"/>
    <w:rsid w:val="00376E22"/>
    <w:rPr>
      <w:rFonts w:ascii="Times New Roman" w:eastAsia="宋体" w:hAnsi="Times New Roman" w:cs="Times New Roman"/>
      <w:sz w:val="18"/>
      <w:szCs w:val="18"/>
    </w:rPr>
  </w:style>
  <w:style w:type="table" w:styleId="aa">
    <w:name w:val="Table Grid"/>
    <w:basedOn w:val="a1"/>
    <w:uiPriority w:val="59"/>
    <w:rsid w:val="00376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逗比 波波</cp:lastModifiedBy>
  <cp:revision>43</cp:revision>
  <dcterms:created xsi:type="dcterms:W3CDTF">2018-03-21T11:18:00Z</dcterms:created>
  <dcterms:modified xsi:type="dcterms:W3CDTF">2019-02-26T13:51:00Z</dcterms:modified>
</cp:coreProperties>
</file>