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A53222"/>
          <w:spacing w:val="60"/>
          <w:sz w:val="20"/>
          <w:szCs w:val="20"/>
        </w:rPr>
        <w:t xml:space="preserve">❯ NEIGHBORHOOD MORTGAGE COMPANY</w:t>
      </w:r>
    </w:p>
    <w:p>
      <w:pPr>
        <w:spacing w:after="200"/>
      </w:pPr>
      <w:r>
        <w:rPr>
          <w:rFonts w:ascii="Georgia" w:cs="Georgia" w:eastAsia="Georgia" w:hAnsi="Georgia"/>
          <w:color w:val="343740"/>
          <w:sz w:val="64"/>
          <w:szCs w:val="64"/>
        </w:rPr>
        <w:t xml:space="preserve">NMC Banker Toolkit</w:t>
      </w:r>
    </w:p>
    <w:p>
      <w:pPr>
        <w:spacing w:after="600"/>
      </w:pPr>
      <w:r>
        <w:rPr>
          <w:rFonts w:ascii="Georgia" w:cs="Georgia" w:eastAsia="Georgia" w:hAnsi="Georgia"/>
          <w:color w:val="5C616E"/>
          <w:sz w:val="30"/>
          <w:szCs w:val="30"/>
        </w:rPr>
        <w:t xml:space="preserve">Deep-dive briefing: what's built, how it works, what's next</w:t>
      </w:r>
    </w:p>
    <w:p>
      <w:pPr>
        <w:spacing w:after="120"/>
      </w:pPr>
      <w:r>
        <w:rPr>
          <w:rFonts w:ascii="Arial" w:cs="Arial" w:eastAsia="Arial" w:hAnsi="Arial"/>
          <w:b/>
          <w:bCs/>
          <w:color w:val="343740"/>
          <w:sz w:val="21"/>
          <w:szCs w:val="21"/>
        </w:rPr>
        <w:t xml:space="preserve">Prepared by: </w:t>
      </w:r>
      <w:r>
        <w:rPr>
          <w:rFonts w:ascii="Arial" w:cs="Arial" w:eastAsia="Arial" w:hAnsi="Arial"/>
          <w:color w:val="343740"/>
          <w:sz w:val="21"/>
          <w:szCs w:val="21"/>
        </w:rPr>
        <w:t xml:space="preserve">Dave Maxwell, Mortgage Loan Officer, NMLS #2821756</w:t>
      </w:r>
    </w:p>
    <w:p>
      <w:pPr>
        <w:spacing w:after="120"/>
      </w:pPr>
      <w:r>
        <w:rPr>
          <w:rFonts w:ascii="Arial" w:cs="Arial" w:eastAsia="Arial" w:hAnsi="Arial"/>
          <w:b/>
          <w:bCs/>
          <w:color w:val="343740"/>
          <w:sz w:val="21"/>
          <w:szCs w:val="21"/>
        </w:rPr>
        <w:t xml:space="preserve">For: </w:t>
      </w:r>
      <w:r>
        <w:rPr>
          <w:rFonts w:ascii="Arial" w:cs="Arial" w:eastAsia="Arial" w:hAnsi="Arial"/>
          <w:color w:val="343740"/>
          <w:sz w:val="21"/>
          <w:szCs w:val="21"/>
        </w:rPr>
        <w:t xml:space="preserve">Hamoody (Mike) Jaafar, CEO &amp; Owner · Abe, IT · Ryan, Developer</w:t>
      </w:r>
    </w:p>
    <w:p>
      <w:pPr>
        <w:spacing w:after="120"/>
      </w:pPr>
      <w:r>
        <w:rPr>
          <w:rFonts w:ascii="Arial" w:cs="Arial" w:eastAsia="Arial" w:hAnsi="Arial"/>
          <w:b/>
          <w:bCs/>
          <w:color w:val="343740"/>
          <w:sz w:val="21"/>
          <w:szCs w:val="21"/>
        </w:rPr>
        <w:t xml:space="preserve">Session: </w:t>
      </w:r>
      <w:r>
        <w:rPr>
          <w:rFonts w:ascii="Arial" w:cs="Arial" w:eastAsia="Arial" w:hAnsi="Arial"/>
          <w:color w:val="343740"/>
          <w:sz w:val="21"/>
          <w:szCs w:val="21"/>
        </w:rPr>
        <w:t xml:space="preserve">Monday, September 21, 2026</w:t>
      </w:r>
    </w:p>
    <w:p>
      <w:pPr>
        <w:spacing w:after="120"/>
      </w:pPr>
      <w:r>
        <w:rPr>
          <w:rFonts w:ascii="Arial" w:cs="Arial" w:eastAsia="Arial" w:hAnsi="Arial"/>
          <w:b/>
          <w:bCs/>
          <w:color w:val="343740"/>
          <w:sz w:val="21"/>
          <w:szCs w:val="21"/>
        </w:rPr>
        <w:t xml:space="preserve">Pack version: </w:t>
      </w:r>
      <w:r>
        <w:rPr>
          <w:rFonts w:ascii="Arial" w:cs="Arial" w:eastAsia="Arial" w:hAnsi="Arial"/>
          <w:color w:val="343740"/>
          <w:sz w:val="21"/>
          <w:szCs w:val="21"/>
        </w:rPr>
        <w:t xml:space="preserve">NMC-Toolkit-Pack.zip built September 18, 2026</w:t>
      </w:r>
    </w:p>
    <w:p>
      <w:pPr>
        <w:spacing w:before="900"/>
      </w:pPr>
      <w:r>
        <w:rPr>
          <w:rFonts w:ascii="Arial" w:cs="Arial" w:eastAsia="Arial" w:hAnsi="Arial"/>
          <w:i/>
          <w:iCs/>
          <w:color w:val="5C616E"/>
          <w:sz w:val="21"/>
          <w:szCs w:val="21"/>
        </w:rPr>
        <w:t xml:space="preserve">This document is the complete record of the project to date — every screen, calculation, data flow, decision, open question, and idea discussed — so the team has full visibility going in and nothing is left to memory.</w:t>
      </w:r>
    </w:p>
    <w:p>
      <w:r>
        <w:br w:type="page"/>
      </w:r>
    </w:p>
    <w:p>
      <w:pPr>
        <w:pStyle w:val="Heading1"/>
        <w:spacing w:after="160" w:before="360"/>
      </w:pPr>
      <w:r>
        <w:rPr>
          <w:rFonts w:ascii="Georgia" w:cs="Georgia" w:eastAsia="Georgia" w:hAnsi="Georgia"/>
          <w:color w:val="A53222"/>
          <w:sz w:val="34"/>
          <w:szCs w:val="34"/>
        </w:rPr>
        <w:t xml:space="preserve">Contents</w:t>
      </w:r>
    </w:p>
    <w:p>
      <w:pPr>
        <w:spacing w:after="110"/>
      </w:pPr>
      <w:r>
        <w:rPr>
          <w:rFonts w:ascii="Arial" w:cs="Arial" w:eastAsia="Arial" w:hAnsi="Arial"/>
          <w:color w:val="343740"/>
          <w:sz w:val="22"/>
          <w:szCs w:val="22"/>
        </w:rPr>
        <w:t xml:space="preserve">1. Executive summary</w:t>
      </w:r>
    </w:p>
    <w:p>
      <w:pPr>
        <w:spacing w:after="110"/>
      </w:pPr>
      <w:r>
        <w:rPr>
          <w:rFonts w:ascii="Arial" w:cs="Arial" w:eastAsia="Arial" w:hAnsi="Arial"/>
          <w:color w:val="343740"/>
          <w:sz w:val="22"/>
          <w:szCs w:val="22"/>
        </w:rPr>
        <w:t xml:space="preserve">2. What's in the pack</w:t>
      </w:r>
    </w:p>
    <w:p>
      <w:pPr>
        <w:spacing w:after="110"/>
      </w:pPr>
      <w:r>
        <w:rPr>
          <w:rFonts w:ascii="Arial" w:cs="Arial" w:eastAsia="Arial" w:hAnsi="Arial"/>
          <w:color w:val="343740"/>
          <w:sz w:val="22"/>
          <w:szCs w:val="22"/>
        </w:rPr>
        <w:t xml:space="preserve">3. Architecture</w:t>
      </w:r>
    </w:p>
    <w:p>
      <w:pPr>
        <w:spacing w:after="110"/>
      </w:pPr>
      <w:r>
        <w:rPr>
          <w:rFonts w:ascii="Arial" w:cs="Arial" w:eastAsia="Arial" w:hAnsi="Arial"/>
          <w:color w:val="343740"/>
          <w:sz w:val="22"/>
          <w:szCs w:val="22"/>
        </w:rPr>
        <w:t xml:space="preserve">4. Banker toolkit — screen by screen</w:t>
      </w:r>
    </w:p>
    <w:p>
      <w:pPr>
        <w:spacing w:after="110"/>
      </w:pPr>
      <w:r>
        <w:rPr>
          <w:rFonts w:ascii="Arial" w:cs="Arial" w:eastAsia="Arial" w:hAnsi="Arial"/>
          <w:color w:val="343740"/>
          <w:sz w:val="22"/>
          <w:szCs w:val="22"/>
        </w:rPr>
        <w:t xml:space="preserve">5. Management console</w:t>
      </w:r>
    </w:p>
    <w:p>
      <w:pPr>
        <w:spacing w:after="110"/>
      </w:pPr>
      <w:r>
        <w:rPr>
          <w:rFonts w:ascii="Arial" w:cs="Arial" w:eastAsia="Arial" w:hAnsi="Arial"/>
          <w:color w:val="343740"/>
          <w:sz w:val="22"/>
          <w:szCs w:val="22"/>
        </w:rPr>
        <w:t xml:space="preserve">6. Central hub and bridge</w:t>
      </w:r>
    </w:p>
    <w:p>
      <w:pPr>
        <w:spacing w:after="110"/>
      </w:pPr>
      <w:r>
        <w:rPr>
          <w:rFonts w:ascii="Arial" w:cs="Arial" w:eastAsia="Arial" w:hAnsi="Arial"/>
          <w:color w:val="343740"/>
          <w:sz w:val="22"/>
          <w:szCs w:val="22"/>
        </w:rPr>
        <w:t xml:space="preserve">7. Calculation methodology</w:t>
      </w:r>
    </w:p>
    <w:p>
      <w:pPr>
        <w:spacing w:after="110"/>
      </w:pPr>
      <w:r>
        <w:rPr>
          <w:rFonts w:ascii="Arial" w:cs="Arial" w:eastAsia="Arial" w:hAnsi="Arial"/>
          <w:color w:val="343740"/>
          <w:sz w:val="22"/>
          <w:szCs w:val="22"/>
        </w:rPr>
        <w:t xml:space="preserve">8. Data, privacy, and compliance</w:t>
      </w:r>
    </w:p>
    <w:p>
      <w:pPr>
        <w:spacing w:after="110"/>
      </w:pPr>
      <w:r>
        <w:rPr>
          <w:rFonts w:ascii="Arial" w:cs="Arial" w:eastAsia="Arial" w:hAnsi="Arial"/>
          <w:color w:val="343740"/>
          <w:sz w:val="22"/>
          <w:szCs w:val="22"/>
        </w:rPr>
        <w:t xml:space="preserve">9. Integrations</w:t>
      </w:r>
    </w:p>
    <w:p>
      <w:pPr>
        <w:spacing w:after="110"/>
      </w:pPr>
      <w:r>
        <w:rPr>
          <w:rFonts w:ascii="Arial" w:cs="Arial" w:eastAsia="Arial" w:hAnsi="Arial"/>
          <w:color w:val="343740"/>
          <w:sz w:val="22"/>
          <w:szCs w:val="22"/>
        </w:rPr>
        <w:t xml:space="preserve">10. Decisions made, and why</w:t>
      </w:r>
    </w:p>
    <w:p>
      <w:pPr>
        <w:spacing w:after="110"/>
      </w:pPr>
      <w:r>
        <w:rPr>
          <w:rFonts w:ascii="Arial" w:cs="Arial" w:eastAsia="Arial" w:hAnsi="Arial"/>
          <w:color w:val="343740"/>
          <w:sz w:val="22"/>
          <w:szCs w:val="22"/>
        </w:rPr>
        <w:t xml:space="preserve">11. Open questions, by person</w:t>
      </w:r>
    </w:p>
    <w:p>
      <w:pPr>
        <w:spacing w:after="110"/>
      </w:pPr>
      <w:r>
        <w:rPr>
          <w:rFonts w:ascii="Arial" w:cs="Arial" w:eastAsia="Arial" w:hAnsi="Arial"/>
          <w:color w:val="343740"/>
          <w:sz w:val="22"/>
          <w:szCs w:val="22"/>
        </w:rPr>
        <w:t xml:space="preserve">12. Roadmap and effort</w:t>
      </w:r>
    </w:p>
    <w:p>
      <w:pPr>
        <w:spacing w:after="110"/>
      </w:pPr>
      <w:r>
        <w:rPr>
          <w:rFonts w:ascii="Arial" w:cs="Arial" w:eastAsia="Arial" w:hAnsi="Arial"/>
          <w:color w:val="343740"/>
          <w:sz w:val="22"/>
          <w:szCs w:val="22"/>
        </w:rPr>
        <w:t xml:space="preserve">13. Risks and mitigations</w:t>
      </w:r>
    </w:p>
    <w:p>
      <w:pPr>
        <w:spacing w:after="110"/>
      </w:pPr>
      <w:r>
        <w:rPr>
          <w:rFonts w:ascii="Arial" w:cs="Arial" w:eastAsia="Arial" w:hAnsi="Arial"/>
          <w:color w:val="343740"/>
          <w:sz w:val="22"/>
          <w:szCs w:val="22"/>
        </w:rPr>
        <w:t xml:space="preserve">14. Suggested demo script</w:t>
      </w:r>
    </w:p>
    <w:p>
      <w:pPr>
        <w:spacing w:after="110"/>
      </w:pPr>
      <w:r>
        <w:rPr>
          <w:rFonts w:ascii="Arial" w:cs="Arial" w:eastAsia="Arial" w:hAnsi="Arial"/>
          <w:color w:val="343740"/>
          <w:sz w:val="22"/>
          <w:szCs w:val="22"/>
        </w:rPr>
        <w:t xml:space="preserve">Appendix — file formats and tokens</w:t>
      </w:r>
    </w:p>
    <w:p>
      <w:r>
        <w:br w:type="page"/>
      </w:r>
    </w:p>
    <w:p>
      <w:pPr>
        <w:pStyle w:val="Heading1"/>
        <w:spacing w:after="160" w:before="360"/>
      </w:pPr>
      <w:r>
        <w:rPr>
          <w:rFonts w:ascii="Georgia" w:cs="Georgia" w:eastAsia="Georgia" w:hAnsi="Georgia"/>
          <w:color w:val="A53222"/>
          <w:sz w:val="34"/>
          <w:szCs w:val="34"/>
        </w:rPr>
        <w:t xml:space="preserve">1. Executive summary</w:t>
      </w:r>
    </w:p>
    <w:p>
      <w:pPr>
        <w:spacing w:after="120"/>
      </w:pPr>
      <w:r>
        <w:rPr>
          <w:rFonts w:ascii="Arial" w:cs="Arial" w:eastAsia="Arial" w:hAnsi="Arial"/>
          <w:color w:val="343740"/>
          <w:sz w:val="21"/>
          <w:szCs w:val="21"/>
        </w:rPr>
        <w:t xml:space="preserve">The NMC Banker Toolkit is a set of standalone tools that let a mortgage banker run a refinance or home-equity conversation end to end — from a pasted Salesforce record to a client-facing savings proposal — with the math done for them, and lets management see the whole floor's activity in one place. It was built to replace the mix of spreadsheets, calculators, and memory bankers use today, and to be honest by design: every proposal states only real, verified benefits, and every number carries its source.</w:t>
      </w:r>
    </w:p>
    <w:p>
      <w:pPr>
        <w:pStyle w:val="Heading3"/>
        <w:spacing w:after="80" w:before="200"/>
      </w:pPr>
      <w:r>
        <w:rPr>
          <w:rFonts w:ascii="Arial" w:cs="Arial" w:eastAsia="Arial" w:hAnsi="Arial"/>
          <w:b/>
          <w:bCs/>
          <w:color w:val="A53222"/>
          <w:sz w:val="22"/>
          <w:szCs w:val="22"/>
        </w:rPr>
        <w:t xml:space="preserve">What exists today</w:t>
      </w:r>
    </w:p>
    <w:p>
      <w:pPr>
        <w:pStyle w:val="ListParagraph"/>
        <w:numPr>
          <w:ilvl w:val="0"/>
          <w:numId w:val="2"/>
        </w:numPr>
        <w:spacing w:after="70"/>
      </w:pPr>
      <w:r>
        <w:rPr>
          <w:rFonts w:ascii="Arial" w:cs="Arial" w:eastAsia="Arial" w:hAnsi="Arial"/>
          <w:b/>
          <w:bCs/>
          <w:color w:val="343740"/>
          <w:sz w:val="21"/>
          <w:szCs w:val="21"/>
        </w:rPr>
        <w:t xml:space="preserve">Banker toolkit</w:t>
      </w:r>
      <w:r>
        <w:rPr>
          <w:rFonts w:ascii="Arial" w:cs="Arial" w:eastAsia="Arial" w:hAnsi="Arial"/>
          <w:color w:val="343740"/>
          <w:sz w:val="21"/>
          <w:szCs w:val="21"/>
        </w:rPr>
        <w:t xml:space="preserve"> — one HTML file per banker, fully standalone. Pipeline with rate alerts, Salesforce paste and one-click import, lender pricing, savings analysis with debt consolidation and pay-what-you-pay-now, side-by-side comparison, client proposal PDF, script/template library, mid-call calculator deck, call-block tracking, and a settings/sync hub link.</w:t>
      </w:r>
    </w:p>
    <w:p>
      <w:pPr>
        <w:pStyle w:val="ListParagraph"/>
        <w:numPr>
          <w:ilvl w:val="0"/>
          <w:numId w:val="2"/>
        </w:numPr>
        <w:spacing w:after="70"/>
      </w:pPr>
      <w:r>
        <w:rPr>
          <w:rFonts w:ascii="Arial" w:cs="Arial" w:eastAsia="Arial" w:hAnsi="Arial"/>
          <w:b/>
          <w:bCs/>
          <w:color w:val="343740"/>
          <w:sz w:val="21"/>
          <w:szCs w:val="21"/>
        </w:rPr>
        <w:t xml:space="preserve">Management console</w:t>
      </w:r>
      <w:r>
        <w:rPr>
          <w:rFonts w:ascii="Arial" w:cs="Arial" w:eastAsia="Arial" w:hAnsi="Arial"/>
          <w:color w:val="343740"/>
          <w:sz w:val="21"/>
          <w:szCs w:val="21"/>
        </w:rPr>
        <w:t xml:space="preserve"> — one HTML file for leadership and IT: team dashboard, rate desk, template publishing, presence (who has the toolkit open), mirrored save files, hub health.</w:t>
      </w:r>
    </w:p>
    <w:p>
      <w:pPr>
        <w:pStyle w:val="ListParagraph"/>
        <w:numPr>
          <w:ilvl w:val="0"/>
          <w:numId w:val="2"/>
        </w:numPr>
        <w:spacing w:after="70"/>
      </w:pPr>
      <w:r>
        <w:rPr>
          <w:rFonts w:ascii="Arial" w:cs="Arial" w:eastAsia="Arial" w:hAnsi="Arial"/>
          <w:b/>
          <w:bCs/>
          <w:color w:val="343740"/>
          <w:sz w:val="21"/>
          <w:szCs w:val="21"/>
        </w:rPr>
        <w:t xml:space="preserve">Central hub</w:t>
      </w:r>
      <w:r>
        <w:rPr>
          <w:rFonts w:ascii="Arial" w:cs="Arial" w:eastAsia="Arial" w:hAnsi="Arial"/>
          <w:color w:val="343740"/>
          <w:sz w:val="21"/>
          <w:szCs w:val="21"/>
        </w:rPr>
        <w:t xml:space="preserve"> — a dependency-free Node server (server.js) plus a shared-drive bridge (merge-drive.js) for air-gapped machines. Rates, team stats, templates, presence, save mirrors, Salesforce import inbox, AVM plug-in, 10-yr Treasury.</w:t>
      </w:r>
    </w:p>
    <w:p>
      <w:pPr>
        <w:pStyle w:val="ListParagraph"/>
        <w:numPr>
          <w:ilvl w:val="0"/>
          <w:numId w:val="2"/>
        </w:numPr>
        <w:spacing w:after="70"/>
      </w:pPr>
      <w:r>
        <w:rPr>
          <w:rFonts w:ascii="Arial" w:cs="Arial" w:eastAsia="Arial" w:hAnsi="Arial"/>
          <w:b/>
          <w:bCs/>
          <w:color w:val="343740"/>
          <w:sz w:val="21"/>
          <w:szCs w:val="21"/>
        </w:rPr>
        <w:t xml:space="preserve">Demo copies</w:t>
      </w:r>
      <w:r>
        <w:rPr>
          <w:rFonts w:ascii="Arial" w:cs="Arial" w:eastAsia="Arial" w:hAnsi="Arial"/>
          <w:color w:val="343740"/>
          <w:sz w:val="21"/>
          <w:szCs w:val="21"/>
        </w:rPr>
        <w:t xml:space="preserve"> of both HTML files with fictional data, isolated from real data, for training and this deep dive.</w:t>
      </w:r>
    </w:p>
    <w:p>
      <w:pPr>
        <w:pStyle w:val="ListParagraph"/>
        <w:numPr>
          <w:ilvl w:val="0"/>
          <w:numId w:val="2"/>
        </w:numPr>
        <w:spacing w:after="70"/>
      </w:pPr>
      <w:r>
        <w:rPr>
          <w:rFonts w:ascii="Arial" w:cs="Arial" w:eastAsia="Arial" w:hAnsi="Arial"/>
          <w:b/>
          <w:bCs/>
          <w:color w:val="343740"/>
          <w:sz w:val="21"/>
          <w:szCs w:val="21"/>
        </w:rPr>
        <w:t xml:space="preserve">Documentation</w:t>
      </w:r>
      <w:r>
        <w:rPr>
          <w:rFonts w:ascii="Arial" w:cs="Arial" w:eastAsia="Arial" w:hAnsi="Arial"/>
          <w:color w:val="343740"/>
          <w:sz w:val="21"/>
          <w:szCs w:val="21"/>
        </w:rPr>
        <w:t xml:space="preserve"> — setup guide (IT / bankers / management), endpoint README, and a Salesforce / Five9 / AVM integration spec for the developer.</w:t>
      </w:r>
    </w:p>
    <w:p>
      <w:pPr>
        <w:pStyle w:val="Heading3"/>
        <w:spacing w:after="80" w:before="200"/>
      </w:pPr>
      <w:r>
        <w:rPr>
          <w:rFonts w:ascii="Arial" w:cs="Arial" w:eastAsia="Arial" w:hAnsi="Arial"/>
          <w:b/>
          <w:bCs/>
          <w:color w:val="A53222"/>
          <w:sz w:val="22"/>
          <w:szCs w:val="22"/>
        </w:rPr>
        <w:t xml:space="preserve">Where it stands</w:t>
      </w:r>
    </w:p>
    <w:p>
      <w:pPr>
        <w:spacing w:after="120"/>
      </w:pPr>
      <w:r>
        <w:rPr>
          <w:rFonts w:ascii="Arial" w:cs="Arial" w:eastAsia="Arial" w:hAnsi="Arial"/>
          <w:color w:val="343740"/>
          <w:sz w:val="21"/>
          <w:szCs w:val="21"/>
        </w:rPr>
        <w:t xml:space="preserve">All four HTML files and the hub are complete and tested (automated tests cover parsers, every calculation, the proposal, sync, offline behavior, and migrations). The pack is ready for a pilot. The integrations that depend on company systems — Five9 ring-time pop, Salesforce two-way sync, Dialpad, an AVM provider — are designed and documented but need Abe's and Ryan's involvement to build against NMC's accounts.</w:t>
      </w:r>
    </w:p>
    <w:p>
      <w:pPr>
        <w:pBdr>
          <w:left w:val="single" w:color="A53222" w:sz="24" w:space="8"/>
        </w:pBdr>
        <w:shd w:fill="F7F1E6" w:val="clear"/>
        <w:spacing w:after="160" w:before="80"/>
        <w:ind w:left="200"/>
      </w:pPr>
      <w:r>
        <w:rPr>
          <w:rFonts w:ascii="Arial" w:cs="Arial" w:eastAsia="Arial" w:hAnsi="Arial"/>
          <w:color w:val="343740"/>
          <w:sz w:val="21"/>
          <w:szCs w:val="21"/>
        </w:rPr>
        <w:t xml:space="preserve">Three guarantees to anchor the discussion: (1) the banker toolkit stays a single file that works with no server, no VPN, and no internet — sharing is additive; (2) client data never leaves a banker's machine except through paths we choose deliberately, and SSN/DOB/age/marital status are never captured anywhere; (3) the proposal a client sees contains only benefits that are actually true for their numbers.</w:t>
      </w:r>
    </w:p>
    <w:p>
      <w:pPr>
        <w:pStyle w:val="Heading1"/>
        <w:spacing w:after="160" w:before="360"/>
      </w:pPr>
      <w:r>
        <w:rPr>
          <w:rFonts w:ascii="Georgia" w:cs="Georgia" w:eastAsia="Georgia" w:hAnsi="Georgia"/>
          <w:color w:val="A53222"/>
          <w:sz w:val="34"/>
          <w:szCs w:val="34"/>
        </w:rPr>
        <w:t xml:space="preserve">2. What's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File</w:t>
            </w:r>
          </w:p>
        </w:tc>
        <w:tc>
          <w:tcPr>
            <w:tcW w:type="dxa" w:w="17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Who uses it</w:t>
            </w:r>
          </w:p>
        </w:tc>
        <w:tc>
          <w:tcPr>
            <w:tcW w:type="dxa" w:w="46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What it is</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banker-toolkit/neighborhood-toolkit.html</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banker</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The real toolkit. Starts empty; first-run card asks name/NMLS/phone/email.</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banker-toolkit/neighborhood-toolkit-demo.html</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Training, demos</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Same file with sample clients, rates, blocks, templates. Saves to its own slot — safe beside a real toolkit.</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management-console/nmc-management.html</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Leaders + IT</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Dashboard, rate desk, template library (leaders); presence &amp; IT admin, connection (IT).</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management-console/nmc-management-demo.html</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Leadership preview</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Fictional five-banker floor, three months of history.</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central-server/server.js</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IT (one always-on box)</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The hub. Node 18+, zero packages. Port 8787.</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central-server/merge-drive.js</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IT (air-gapped sites)</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Merges per-banker files on a shared folder into team/presence/template files; relays rates.</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central-server/README.md</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Developer</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endpoint, file format, env var, and the pipeline methodology.</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central-server/SALESFORCE-INTEGRATION.md</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Abe + Ryan</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Salesforce, Five9, Dialpad, and AVM integration spec with rollout steps.</w:t>
            </w:r>
          </w:p>
        </w:tc>
      </w:tr>
      <w:tr>
        <w:tc>
          <w:tcPr>
            <w:tcW w:type="dxa" w:w="3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START-HERE-SETUP-GUIDE.md</w:t>
            </w:r>
          </w:p>
        </w:tc>
        <w:tc>
          <w:tcPr>
            <w:tcW w:type="dxa" w:w="17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Everyone</w:t>
            </w:r>
          </w:p>
        </w:tc>
        <w:tc>
          <w:tcPr>
            <w:tcW w:type="dxa" w:w="46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Three sections: IT, bankers, management.</w:t>
            </w:r>
          </w:p>
        </w:tc>
      </w:tr>
    </w:tbl>
    <w:p>
      <w:pPr>
        <w:pStyle w:val="Heading1"/>
        <w:spacing w:after="160" w:before="360"/>
      </w:pPr>
      <w:r>
        <w:rPr>
          <w:rFonts w:ascii="Georgia" w:cs="Georgia" w:eastAsia="Georgia" w:hAnsi="Georgia"/>
          <w:color w:val="A53222"/>
          <w:sz w:val="34"/>
          <w:szCs w:val="34"/>
        </w:rPr>
        <w:t xml:space="preserve">3. Architecture</w:t>
      </w:r>
    </w:p>
    <w:p>
      <w:pPr>
        <w:pStyle w:val="Heading2"/>
        <w:spacing w:after="120" w:before="260"/>
      </w:pPr>
      <w:r>
        <w:rPr>
          <w:rFonts w:ascii="Georgia" w:cs="Georgia" w:eastAsia="Georgia" w:hAnsi="Georgia"/>
          <w:color w:val="343740"/>
          <w:sz w:val="26"/>
          <w:szCs w:val="26"/>
        </w:rPr>
        <w:t xml:space="preserve">3.1 The three nodes</w:t>
      </w:r>
    </w:p>
    <w:p>
      <w:pPr>
        <w:spacing w:after="120"/>
      </w:pPr>
      <w:r>
        <w:rPr>
          <w:rFonts w:ascii="Arial" w:cs="Arial" w:eastAsia="Arial" w:hAnsi="Arial"/>
          <w:b/>
          <w:bCs/>
          <w:color w:val="343740"/>
          <w:sz w:val="21"/>
          <w:szCs w:val="21"/>
        </w:rPr>
        <w:t xml:space="preserve">Banker node: </w:t>
      </w:r>
      <w:r>
        <w:rPr>
          <w:rFonts w:ascii="Arial" w:cs="Arial" w:eastAsia="Arial" w:hAnsi="Arial"/>
          <w:color w:val="343740"/>
          <w:sz w:val="21"/>
          <w:szCs w:val="21"/>
        </w:rPr>
        <w:t xml:space="preserve">a standalone HTML file. All calculations, charts, parsers, and PDF export run inside it. Data lives in the browser's local storage and, optionally, in a folder the banker chooses (local disk or the mapped NMC drive). No install, no admin rights, nothing to update but the file itself.</w:t>
      </w:r>
    </w:p>
    <w:p>
      <w:pPr>
        <w:spacing w:after="120"/>
      </w:pPr>
      <w:r>
        <w:rPr>
          <w:rFonts w:ascii="Arial" w:cs="Arial" w:eastAsia="Arial" w:hAnsi="Arial"/>
          <w:b/>
          <w:bCs/>
          <w:color w:val="343740"/>
          <w:sz w:val="21"/>
          <w:szCs w:val="21"/>
        </w:rPr>
        <w:t xml:space="preserve">Master management node (the hub): </w:t>
      </w:r>
      <w:r>
        <w:rPr>
          <w:rFonts w:ascii="Arial" w:cs="Arial" w:eastAsia="Arial" w:hAnsi="Arial"/>
          <w:color w:val="343740"/>
          <w:sz w:val="21"/>
          <w:szCs w:val="21"/>
        </w:rPr>
        <w:t xml:space="preserve">server.js on one always-on machine. It is the single source and sink: rates go out, call-block stats come in, templates go out, presence comes in, full save files are mirrored in, Salesforce records are routed to the right banker. The management console is its front end.</w:t>
      </w:r>
    </w:p>
    <w:p>
      <w:pPr>
        <w:spacing w:after="120"/>
      </w:pPr>
      <w:r>
        <w:rPr>
          <w:rFonts w:ascii="Arial" w:cs="Arial" w:eastAsia="Arial" w:hAnsi="Arial"/>
          <w:b/>
          <w:bCs/>
          <w:color w:val="343740"/>
          <w:sz w:val="21"/>
          <w:szCs w:val="21"/>
        </w:rPr>
        <w:t xml:space="preserve">Shared-drive bridge: </w:t>
      </w:r>
      <w:r>
        <w:rPr>
          <w:rFonts w:ascii="Arial" w:cs="Arial" w:eastAsia="Arial" w:hAnsi="Arial"/>
          <w:color w:val="343740"/>
          <w:sz w:val="21"/>
          <w:szCs w:val="21"/>
        </w:rPr>
        <w:t xml:space="preserve">for machines with no route to the hub, bankers point their toolkit at a shared folder; merge-drive.js turns the per-banker files there into the same team/presence/template files, and relays rates and templates both ways. HTTP and drive bankers land in one dashboard.</w:t>
      </w:r>
    </w:p>
    <w:p>
      <w:pPr>
        <w:pStyle w:val="Heading2"/>
        <w:spacing w:after="120" w:before="260"/>
      </w:pPr>
      <w:r>
        <w:rPr>
          <w:rFonts w:ascii="Georgia" w:cs="Georgia" w:eastAsia="Georgia" w:hAnsi="Georgia"/>
          <w:color w:val="343740"/>
          <w:sz w:val="26"/>
          <w:szCs w:val="26"/>
        </w:rPr>
        <w:t xml:space="preserve">3.2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300"/>
        <w:gridCol w:w="2560"/>
      </w:tblGrid>
      <w:tr>
        <w:trPr>
          <w:tblHeader/>
        </w:trPr>
        <w:tc>
          <w:tcPr>
            <w:tcW w:type="dxa" w:w="22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Stream</w:t>
            </w:r>
          </w:p>
        </w:tc>
        <w:tc>
          <w:tcPr>
            <w:tcW w:type="dxa" w:w="13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Direction</w:t>
            </w:r>
          </w:p>
        </w:tc>
        <w:tc>
          <w:tcPr>
            <w:tcW w:type="dxa" w:w="33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Contains</w:t>
            </w:r>
          </w:p>
        </w:tc>
        <w:tc>
          <w:tcPr>
            <w:tcW w:type="dxa" w:w="25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Cadence</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Rates (+ 10-yr Treasury)</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Hub → banker</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Product rates, update date; Treasury direction</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5 min sync, on focus, after each call block; 30-min poll</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Call blocks</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Banker → hub</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Counts only: dials, contacts, interested, folders, minutes, label</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At end of each block</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Team stats</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Hub → banker</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Monthly rollups per banker + history</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sync</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Templates (company + shared)</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Both</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Intro/text/email templates with tokens</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sync</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Presence</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Banker → hub</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Name + timestamp only</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 60 s while open</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Save mirror</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Banker → hub</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The banker's full toolkit save (client data)</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Debounced after every local save; retried on reconnect</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Salesforce inbox</w:t>
            </w:r>
          </w:p>
        </w:tc>
        <w:tc>
          <w:tcPr>
            <w:tcW w:type="dxa" w:w="1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Hub → banker</w:t>
            </w:r>
          </w:p>
        </w:tc>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One lead record, whitelisted fields</w:t>
            </w:r>
          </w:p>
        </w:tc>
        <w:tc>
          <w:tcPr>
            <w:tcW w:type="dxa" w:w="25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On demand (button); on focus</w:t>
            </w:r>
          </w:p>
        </w:tc>
      </w:tr>
    </w:tbl>
    <w:p>
      <w:pPr>
        <w:pStyle w:val="Heading2"/>
        <w:spacing w:after="120" w:before="260"/>
      </w:pPr>
      <w:r>
        <w:rPr>
          <w:rFonts w:ascii="Georgia" w:cs="Georgia" w:eastAsia="Georgia" w:hAnsi="Georgia"/>
          <w:color w:val="343740"/>
          <w:sz w:val="26"/>
          <w:szCs w:val="26"/>
        </w:rPr>
        <w:t xml:space="preserve">3.3 Standalone and offline</w:t>
      </w:r>
    </w:p>
    <w:p>
      <w:pPr>
        <w:spacing w:after="120"/>
      </w:pPr>
      <w:r>
        <w:rPr>
          <w:rFonts w:ascii="Arial" w:cs="Arial" w:eastAsia="Arial" w:hAnsi="Arial"/>
          <w:color w:val="343740"/>
          <w:sz w:val="21"/>
          <w:szCs w:val="21"/>
        </w:rPr>
        <w:t xml:space="preserve">The local save is the source of truth. It writes to the browser (and folder) synchronously and unconditionally — it has no network step. The server mirror is a separate, asynchronous push with a sequence counter so a save that lands mid-request is never marked sent by mistake. A banker working remotely with no VPN keeps pipeline, clients, analysis, proposals, Tools, and call logging; only shared data (rates, team stats, templates) goes stale until they reconnect, at which point everything — including offline call blocks — flows up on its own. Settings shows a green/gray dot for the hub and a plain-language line for the backup's state.</w:t>
      </w:r>
    </w:p>
    <w:p>
      <w:pPr>
        <w:pStyle w:val="Heading2"/>
        <w:spacing w:after="120" w:before="260"/>
      </w:pPr>
      <w:r>
        <w:rPr>
          <w:rFonts w:ascii="Georgia" w:cs="Georgia" w:eastAsia="Georgia" w:hAnsi="Georgia"/>
          <w:color w:val="343740"/>
          <w:sz w:val="26"/>
          <w:szCs w:val="26"/>
        </w:rPr>
        <w:t xml:space="preserve">3.4 Deployment modes</w:t>
      </w:r>
    </w:p>
    <w:p>
      <w:pPr>
        <w:pStyle w:val="ListParagraph"/>
        <w:numPr>
          <w:ilvl w:val="0"/>
          <w:numId w:val="2"/>
        </w:numPr>
        <w:spacing w:after="70"/>
      </w:pPr>
      <w:r>
        <w:rPr>
          <w:rFonts w:ascii="Arial" w:cs="Arial" w:eastAsia="Arial" w:hAnsi="Arial"/>
          <w:b/>
          <w:bCs/>
          <w:color w:val="343740"/>
          <w:sz w:val="21"/>
          <w:szCs w:val="21"/>
        </w:rPr>
        <w:t xml:space="preserve">Connected office / VPN: </w:t>
      </w:r>
      <w:r>
        <w:rPr>
          <w:rFonts w:ascii="Arial" w:cs="Arial" w:eastAsia="Arial" w:hAnsi="Arial"/>
          <w:color w:val="343740"/>
          <w:sz w:val="21"/>
          <w:szCs w:val="21"/>
        </w:rPr>
        <w:t xml:space="preserve">run server.js; bankers paste one hub address in Settings and everything derives from it.</w:t>
      </w:r>
    </w:p>
    <w:p>
      <w:pPr>
        <w:pStyle w:val="ListParagraph"/>
        <w:numPr>
          <w:ilvl w:val="0"/>
          <w:numId w:val="2"/>
        </w:numPr>
        <w:spacing w:after="70"/>
      </w:pPr>
      <w:r>
        <w:rPr>
          <w:rFonts w:ascii="Arial" w:cs="Arial" w:eastAsia="Arial" w:hAnsi="Arial"/>
          <w:b/>
          <w:bCs/>
          <w:color w:val="343740"/>
          <w:sz w:val="21"/>
          <w:szCs w:val="21"/>
        </w:rPr>
        <w:t xml:space="preserve">Air-gapped: </w:t>
      </w:r>
      <w:r>
        <w:rPr>
          <w:rFonts w:ascii="Arial" w:cs="Arial" w:eastAsia="Arial" w:hAnsi="Arial"/>
          <w:color w:val="343740"/>
          <w:sz w:val="21"/>
          <w:szCs w:val="21"/>
        </w:rPr>
        <w:t xml:space="preserve">shared folder + merge-drive.js on one machine; the management console can write rates.json and templates.json straight to the folder.</w:t>
      </w:r>
    </w:p>
    <w:p>
      <w:pPr>
        <w:pStyle w:val="ListParagraph"/>
        <w:numPr>
          <w:ilvl w:val="0"/>
          <w:numId w:val="2"/>
        </w:numPr>
        <w:spacing w:after="70"/>
      </w:pPr>
      <w:r>
        <w:rPr>
          <w:rFonts w:ascii="Arial" w:cs="Arial" w:eastAsia="Arial" w:hAnsi="Arial"/>
          <w:b/>
          <w:bCs/>
          <w:color w:val="343740"/>
          <w:sz w:val="21"/>
          <w:szCs w:val="21"/>
        </w:rPr>
        <w:t xml:space="preserve">Both: </w:t>
      </w:r>
      <w:r>
        <w:rPr>
          <w:rFonts w:ascii="Arial" w:cs="Arial" w:eastAsia="Arial" w:hAnsi="Arial"/>
          <w:color w:val="343740"/>
          <w:sz w:val="21"/>
          <w:szCs w:val="21"/>
        </w:rPr>
        <w:t xml:space="preserve">merge-drive.js with --into-server unifies the two.</w:t>
      </w:r>
    </w:p>
    <w:p>
      <w:pPr>
        <w:pStyle w:val="Heading1"/>
        <w:spacing w:after="160" w:before="360"/>
      </w:pPr>
      <w:r>
        <w:rPr>
          <w:rFonts w:ascii="Georgia" w:cs="Georgia" w:eastAsia="Georgia" w:hAnsi="Georgia"/>
          <w:color w:val="A53222"/>
          <w:sz w:val="34"/>
          <w:szCs w:val="34"/>
        </w:rPr>
        <w:t xml:space="preserve">4. Banker toolkit — screen by screen</w:t>
      </w:r>
    </w:p>
    <w:p>
      <w:pPr>
        <w:pStyle w:val="Heading2"/>
        <w:spacing w:after="120" w:before="260"/>
      </w:pPr>
      <w:r>
        <w:rPr>
          <w:rFonts w:ascii="Georgia" w:cs="Georgia" w:eastAsia="Georgia" w:hAnsi="Georgia"/>
          <w:color w:val="343740"/>
          <w:sz w:val="26"/>
          <w:szCs w:val="26"/>
        </w:rPr>
        <w:t xml:space="preserve">4.1 Global client bar</w:t>
      </w:r>
    </w:p>
    <w:p>
      <w:pPr>
        <w:spacing w:after="120"/>
      </w:pPr>
      <w:r>
        <w:rPr>
          <w:rFonts w:ascii="Arial" w:cs="Arial" w:eastAsia="Arial" w:hAnsi="Arial"/>
          <w:color w:val="343740"/>
          <w:sz w:val="21"/>
          <w:szCs w:val="21"/>
        </w:rPr>
        <w:t xml:space="preserve">Pinned to the top of every screen: who you're working with, status (or ⚡ Quick quote), loan type, balance @ rate, P&amp;I + escrow, follow-up date, rate-alert chip, and the client's local time (auto-detected from area code or address state; NMC is Eastern). A dropdown switches clients everywhere at once; ✕ Clear deselects. One source of truth for the selected client.</w:t>
      </w:r>
    </w:p>
    <w:p>
      <w:pPr>
        <w:pStyle w:val="Heading2"/>
        <w:spacing w:after="120" w:before="260"/>
      </w:pPr>
      <w:r>
        <w:rPr>
          <w:rFonts w:ascii="Georgia" w:cs="Georgia" w:eastAsia="Georgia" w:hAnsi="Georgia"/>
          <w:color w:val="343740"/>
          <w:sz w:val="26"/>
          <w:szCs w:val="26"/>
        </w:rPr>
        <w:t xml:space="preserve">4.2 Pipeline</w:t>
      </w:r>
    </w:p>
    <w:p>
      <w:pPr>
        <w:pStyle w:val="ListParagraph"/>
        <w:numPr>
          <w:ilvl w:val="0"/>
          <w:numId w:val="2"/>
        </w:numPr>
        <w:spacing w:after="70"/>
      </w:pPr>
      <w:r>
        <w:rPr>
          <w:rFonts w:ascii="Arial" w:cs="Arial" w:eastAsia="Arial" w:hAnsi="Arial"/>
          <w:color w:val="343740"/>
          <w:sz w:val="21"/>
          <w:szCs w:val="21"/>
        </w:rPr>
        <w:t xml:space="preserve">Alert bar naming hot leads (click → their analysis) and follow-ups due.</w:t>
      </w:r>
    </w:p>
    <w:p>
      <w:pPr>
        <w:pStyle w:val="ListParagraph"/>
        <w:numPr>
          <w:ilvl w:val="0"/>
          <w:numId w:val="2"/>
        </w:numPr>
        <w:spacing w:after="70"/>
      </w:pPr>
      <w:r>
        <w:rPr>
          <w:rFonts w:ascii="Arial" w:cs="Arial" w:eastAsia="Arial" w:hAnsi="Arial"/>
          <w:color w:val="343740"/>
          <w:sz w:val="21"/>
          <w:szCs w:val="21"/>
        </w:rPr>
        <w:t xml:space="preserve">Filter chips with counts: All / 🔥 Hot now / Follow-ups due / Watching; status dropdown.</w:t>
      </w:r>
    </w:p>
    <w:p>
      <w:pPr>
        <w:pStyle w:val="ListParagraph"/>
        <w:numPr>
          <w:ilvl w:val="0"/>
          <w:numId w:val="2"/>
        </w:numPr>
        <w:spacing w:after="70"/>
      </w:pPr>
      <w:r>
        <w:rPr>
          <w:rFonts w:ascii="Arial" w:cs="Arial" w:eastAsia="Arial" w:hAnsi="Arial"/>
          <w:color w:val="343740"/>
          <w:sz w:val="21"/>
          <w:szCs w:val="21"/>
        </w:rPr>
        <w:t xml:space="preserve">Opportunity tags: streamline window (client rate − feed ≥ 0.5%), rate alert hit (feed ≤ the banker's explicit target), waiting (with how much more drop is needed), follow-up due. Closed/Lost never alert.</w:t>
      </w:r>
    </w:p>
    <w:p>
      <w:pPr>
        <w:pStyle w:val="ListParagraph"/>
        <w:numPr>
          <w:ilvl w:val="0"/>
          <w:numId w:val="2"/>
        </w:numPr>
        <w:spacing w:after="70"/>
      </w:pPr>
      <w:r>
        <w:rPr>
          <w:rFonts w:ascii="Arial" w:cs="Arial" w:eastAsia="Arial" w:hAnsi="Arial"/>
          <w:color w:val="343740"/>
          <w:sz w:val="21"/>
          <w:szCs w:val="21"/>
        </w:rPr>
        <w:t xml:space="preserve">Notifications on every rate push naming newly eligible clients.</w:t>
      </w:r>
    </w:p>
    <w:p>
      <w:pPr>
        <w:pStyle w:val="ListParagraph"/>
        <w:numPr>
          <w:ilvl w:val="0"/>
          <w:numId w:val="2"/>
        </w:numPr>
        <w:spacing w:after="70"/>
      </w:pPr>
      <w:r>
        <w:rPr>
          <w:rFonts w:ascii="Arial" w:cs="Arial" w:eastAsia="Arial" w:hAnsi="Arial"/>
          <w:color w:val="343740"/>
          <w:sz w:val="21"/>
          <w:szCs w:val="21"/>
        </w:rPr>
        <w:t xml:space="preserve">New from Salesforce strip: records sent from the Salesforce button, with Import / Ignore.</w:t>
      </w:r>
    </w:p>
    <w:p>
      <w:pPr>
        <w:pStyle w:val="ListParagraph"/>
        <w:numPr>
          <w:ilvl w:val="0"/>
          <w:numId w:val="2"/>
        </w:numPr>
        <w:spacing w:after="70"/>
      </w:pPr>
      <w:r>
        <w:rPr>
          <w:rFonts w:ascii="Arial" w:cs="Arial" w:eastAsia="Arial" w:hAnsi="Arial"/>
          <w:color w:val="343740"/>
          <w:sz w:val="21"/>
          <w:szCs w:val="21"/>
        </w:rPr>
        <w:t xml:space="preserve">Quick quote: a full analysis and PDF without adding to the pipeline; promotable later.</w:t>
      </w:r>
    </w:p>
    <w:p>
      <w:pPr>
        <w:pStyle w:val="Heading2"/>
        <w:spacing w:after="120" w:before="260"/>
      </w:pPr>
      <w:r>
        <w:rPr>
          <w:rFonts w:ascii="Georgia" w:cs="Georgia" w:eastAsia="Georgia" w:hAnsi="Georgia"/>
          <w:color w:val="343740"/>
          <w:sz w:val="26"/>
          <w:szCs w:val="26"/>
        </w:rPr>
        <w:t xml:space="preserve">4.3 Client workspace</w:t>
      </w:r>
    </w:p>
    <w:p>
      <w:pPr>
        <w:pStyle w:val="ListParagraph"/>
        <w:numPr>
          <w:ilvl w:val="0"/>
          <w:numId w:val="2"/>
        </w:numPr>
        <w:spacing w:after="70"/>
      </w:pPr>
      <w:r>
        <w:rPr>
          <w:rFonts w:ascii="Arial" w:cs="Arial" w:eastAsia="Arial" w:hAnsi="Arial"/>
          <w:color w:val="343740"/>
          <w:sz w:val="21"/>
          <w:szCs w:val="21"/>
        </w:rPr>
        <w:t xml:space="preserve">Full detail form: balance, rate, total payment (PITI) with automatic P&amp;I / escrow split, months left, home value with an Estimate-value button (AVM via hub) and a Pennymac link, FICO, servicer, loan type, follow-up, notes.</w:t>
      </w:r>
    </w:p>
    <w:p>
      <w:pPr>
        <w:pStyle w:val="ListParagraph"/>
        <w:numPr>
          <w:ilvl w:val="0"/>
          <w:numId w:val="2"/>
        </w:numPr>
        <w:spacing w:after="70"/>
      </w:pPr>
      <w:r>
        <w:rPr>
          <w:rFonts w:ascii="Arial" w:cs="Arial" w:eastAsia="Arial" w:hAnsi="Arial"/>
          <w:color w:val="343740"/>
          <w:sz w:val="21"/>
          <w:szCs w:val="21"/>
        </w:rPr>
        <w:t xml:space="preserve">Rate alert: “tell me when the feed hits ___%” with ½ / ¾ / 1-point-below chips.</w:t>
      </w:r>
    </w:p>
    <w:p>
      <w:pPr>
        <w:pStyle w:val="ListParagraph"/>
        <w:numPr>
          <w:ilvl w:val="0"/>
          <w:numId w:val="2"/>
        </w:numPr>
        <w:spacing w:after="70"/>
      </w:pPr>
      <w:r>
        <w:rPr>
          <w:rFonts w:ascii="Arial" w:cs="Arial" w:eastAsia="Arial" w:hAnsi="Arial"/>
          <w:color w:val="343740"/>
          <w:sz w:val="21"/>
          <w:szCs w:val="21"/>
        </w:rPr>
        <w:t xml:space="preserve">Time zone: auto or explicit.</w:t>
      </w:r>
    </w:p>
    <w:p>
      <w:pPr>
        <w:pStyle w:val="ListParagraph"/>
        <w:numPr>
          <w:ilvl w:val="0"/>
          <w:numId w:val="2"/>
        </w:numPr>
        <w:spacing w:after="70"/>
      </w:pPr>
      <w:r>
        <w:rPr>
          <w:rFonts w:ascii="Arial" w:cs="Arial" w:eastAsia="Arial" w:hAnsi="Arial"/>
          <w:color w:val="343740"/>
          <w:sz w:val="21"/>
          <w:szCs w:val="21"/>
        </w:rPr>
        <w:t xml:space="preserve">Salesforce paste parser tuned to NMC's exact record layout (label line / value line, empty fields, markdown emails, junk lines). Title-cases names, maps FHA+ → FHA, derives months left, builds notes, and auto-creates the debt rows (cards, autos, HEL). SSN, birthdate, age, marital status are consumed and dropped before anything else sees them.</w:t>
      </w:r>
    </w:p>
    <w:p>
      <w:pPr>
        <w:pStyle w:val="ListParagraph"/>
        <w:numPr>
          <w:ilvl w:val="0"/>
          <w:numId w:val="2"/>
        </w:numPr>
        <w:spacing w:after="70"/>
      </w:pPr>
      <w:r>
        <w:rPr>
          <w:rFonts w:ascii="Arial" w:cs="Arial" w:eastAsia="Arial" w:hAnsi="Arial"/>
          <w:color w:val="343740"/>
          <w:sz w:val="21"/>
          <w:szCs w:val="21"/>
        </w:rPr>
        <w:t xml:space="preserve">Re-paste shows current → new per field; unchanged fields are unchecked; the banker approves every change. Paste-from-clipboard button for the bookmarklet flow.</w:t>
      </w:r>
    </w:p>
    <w:p>
      <w:pPr>
        <w:pStyle w:val="Heading2"/>
        <w:spacing w:after="120" w:before="260"/>
      </w:pPr>
      <w:r>
        <w:rPr>
          <w:rFonts w:ascii="Georgia" w:cs="Georgia" w:eastAsia="Georgia" w:hAnsi="Georgia"/>
          <w:color w:val="343740"/>
          <w:sz w:val="26"/>
          <w:szCs w:val="26"/>
        </w:rPr>
        <w:t xml:space="preserve">4.4 Lender pricing</w:t>
      </w:r>
    </w:p>
    <w:p>
      <w:pPr>
        <w:pStyle w:val="ListParagraph"/>
        <w:numPr>
          <w:ilvl w:val="0"/>
          <w:numId w:val="2"/>
        </w:numPr>
        <w:spacing w:after="70"/>
      </w:pPr>
      <w:r>
        <w:rPr>
          <w:rFonts w:ascii="Arial" w:cs="Arial" w:eastAsia="Arial" w:hAnsi="Arial"/>
          <w:color w:val="343740"/>
          <w:sz w:val="21"/>
          <w:szCs w:val="21"/>
        </w:rPr>
        <w:t xml:space="preserve">Paste any lender's rate stack; parser reads rate / price / points / lock in any layout.</w:t>
      </w:r>
    </w:p>
    <w:p>
      <w:pPr>
        <w:pStyle w:val="ListParagraph"/>
        <w:numPr>
          <w:ilvl w:val="0"/>
          <w:numId w:val="2"/>
        </w:numPr>
        <w:spacing w:after="70"/>
      </w:pPr>
      <w:r>
        <w:rPr>
          <w:rFonts w:ascii="Arial" w:cs="Arial" w:eastAsia="Arial" w:hAnsi="Arial"/>
          <w:color w:val="343740"/>
          <w:sz w:val="21"/>
          <w:szCs w:val="21"/>
        </w:rPr>
        <w:t xml:space="preserve">Saved options sorted best rate first with cost of points in dollars and estimated P&amp;I on the analysis loan amount.</w:t>
      </w:r>
    </w:p>
    <w:p>
      <w:pPr>
        <w:pStyle w:val="ListParagraph"/>
        <w:numPr>
          <w:ilvl w:val="0"/>
          <w:numId w:val="2"/>
        </w:numPr>
        <w:spacing w:after="70"/>
      </w:pPr>
      <w:r>
        <w:rPr>
          <w:rFonts w:ascii="Arial" w:cs="Arial" w:eastAsia="Arial" w:hAnsi="Arial"/>
          <w:color w:val="343740"/>
          <w:sz w:val="21"/>
          <w:szCs w:val="21"/>
        </w:rPr>
        <w:t xml:space="preserve">Per option: Analyze (becomes the proposal's rate, tagged as an actual quote), Compare (adds a side-by-side scenario), ☆ Recommend (stars it on the proposal).</w:t>
      </w:r>
    </w:p>
    <w:p>
      <w:pPr>
        <w:pStyle w:val="Heading2"/>
        <w:spacing w:after="120" w:before="260"/>
      </w:pPr>
      <w:r>
        <w:rPr>
          <w:rFonts w:ascii="Georgia" w:cs="Georgia" w:eastAsia="Georgia" w:hAnsi="Georgia"/>
          <w:color w:val="343740"/>
          <w:sz w:val="26"/>
          <w:szCs w:val="26"/>
        </w:rPr>
        <w:t xml:space="preserve">4.5 Savings analysis</w:t>
      </w:r>
    </w:p>
    <w:p>
      <w:pPr>
        <w:pStyle w:val="ListParagraph"/>
        <w:numPr>
          <w:ilvl w:val="0"/>
          <w:numId w:val="2"/>
        </w:numPr>
        <w:spacing w:after="70"/>
      </w:pPr>
      <w:r>
        <w:rPr>
          <w:rFonts w:ascii="Arial" w:cs="Arial" w:eastAsia="Arial" w:hAnsi="Arial"/>
          <w:color w:val="343740"/>
          <w:sz w:val="21"/>
          <w:szCs w:val="21"/>
        </w:rPr>
        <w:t xml:space="preserve">Inputs: new rate (with provenance — feed estimate, lender quote, or manual), term, closing costs, cash out, skipped payments (0–2), roll debts, refi vs second lien, program (Standard / FHA Streamline / VA IRRRL), no-prepayment-penalty highlight, extra the client already pays toward debts.</w:t>
      </w:r>
    </w:p>
    <w:p>
      <w:pPr>
        <w:pStyle w:val="ListParagraph"/>
        <w:numPr>
          <w:ilvl w:val="0"/>
          <w:numId w:val="2"/>
        </w:numPr>
        <w:spacing w:after="70"/>
      </w:pPr>
      <w:r>
        <w:rPr>
          <w:rFonts w:ascii="Arial" w:cs="Arial" w:eastAsia="Arial" w:hAnsi="Arial"/>
          <w:color w:val="343740"/>
          <w:sz w:val="21"/>
          <w:szCs w:val="21"/>
        </w:rPr>
        <w:t xml:space="preserve">Debt table with paste-a-list parser (credit report / Salesforce / typed), optional APR (blend computed only over known APRs), update-in-place when real numbers replace estimates.</w:t>
      </w:r>
    </w:p>
    <w:p>
      <w:pPr>
        <w:pStyle w:val="ListParagraph"/>
        <w:numPr>
          <w:ilvl w:val="0"/>
          <w:numId w:val="2"/>
        </w:numPr>
        <w:spacing w:after="70"/>
      </w:pPr>
      <w:r>
        <w:rPr>
          <w:rFonts w:ascii="Arial" w:cs="Arial" w:eastAsia="Arial" w:hAnsi="Arial"/>
          <w:color w:val="343740"/>
          <w:sz w:val="21"/>
          <w:szCs w:val="21"/>
        </w:rPr>
        <w:t xml:space="preserve">Outputs: today vs proposed outlay, monthly savings, skip cash, blended rate, debt interest cost, pay-what-you-pay-now payoff and term cut, interest saved vs minimum and vs staying put, the effective rate paying what they pay now, double-amortization chart and yearly table.</w:t>
      </w:r>
    </w:p>
    <w:p>
      <w:pPr>
        <w:pStyle w:val="ListParagraph"/>
        <w:numPr>
          <w:ilvl w:val="0"/>
          <w:numId w:val="2"/>
        </w:numPr>
        <w:spacing w:after="70"/>
      </w:pPr>
      <w:r>
        <w:rPr>
          <w:rFonts w:ascii="Arial" w:cs="Arial" w:eastAsia="Arial" w:hAnsi="Arial"/>
          <w:color w:val="343740"/>
          <w:sz w:val="21"/>
          <w:szCs w:val="21"/>
        </w:rPr>
        <w:t xml:space="preserve">FHA Streamline rules: no skipped payment, lender-paid costs, upfront MIP financed; VA IRRRL bullets.</w:t>
      </w:r>
    </w:p>
    <w:p>
      <w:pPr>
        <w:pStyle w:val="ListParagraph"/>
        <w:numPr>
          <w:ilvl w:val="0"/>
          <w:numId w:val="2"/>
        </w:numPr>
        <w:spacing w:after="70"/>
      </w:pPr>
      <w:r>
        <w:rPr>
          <w:rFonts w:ascii="Arial" w:cs="Arial" w:eastAsia="Arial" w:hAnsi="Arial"/>
          <w:color w:val="343740"/>
          <w:sz w:val="21"/>
          <w:szCs w:val="21"/>
        </w:rPr>
        <w:t xml:space="preserve">Second-lien mode (HELOAN/HELOC): first mortgage untouched everywhere.</w:t>
      </w:r>
    </w:p>
    <w:p>
      <w:pPr>
        <w:pStyle w:val="Heading2"/>
        <w:spacing w:after="120" w:before="260"/>
      </w:pPr>
      <w:r>
        <w:rPr>
          <w:rFonts w:ascii="Georgia" w:cs="Georgia" w:eastAsia="Georgia" w:hAnsi="Georgia"/>
          <w:color w:val="343740"/>
          <w:sz w:val="26"/>
          <w:szCs w:val="26"/>
        </w:rPr>
        <w:t xml:space="preserve">4.6 Compare options</w:t>
      </w:r>
    </w:p>
    <w:p>
      <w:pPr>
        <w:pStyle w:val="ListParagraph"/>
        <w:numPr>
          <w:ilvl w:val="0"/>
          <w:numId w:val="2"/>
        </w:numPr>
        <w:spacing w:after="70"/>
      </w:pPr>
      <w:r>
        <w:rPr>
          <w:rFonts w:ascii="Arial" w:cs="Arial" w:eastAsia="Arial" w:hAnsi="Arial"/>
          <w:color w:val="343740"/>
          <w:sz w:val="21"/>
          <w:szCs w:val="21"/>
        </w:rPr>
        <w:t xml:space="preserve">Up to five scenarios: fixed HEL, HELOC (interest-only draw then amortize), cash-out refi; per-scenario amount, rate, term, draw, skip, extra.</w:t>
      </w:r>
    </w:p>
    <w:p>
      <w:pPr>
        <w:pStyle w:val="ListParagraph"/>
        <w:numPr>
          <w:ilvl w:val="0"/>
          <w:numId w:val="2"/>
        </w:numPr>
        <w:spacing w:after="70"/>
      </w:pPr>
      <w:r>
        <w:rPr>
          <w:rFonts w:ascii="Arial" w:cs="Arial" w:eastAsia="Arial" w:hAnsi="Arial"/>
          <w:color w:val="343740"/>
          <w:sz w:val="21"/>
          <w:szCs w:val="21"/>
        </w:rPr>
        <w:t xml:space="preserve">Pay-what-they-pay-now toggle: today's outlay on every option → extra to principal, payoff time, total interest, effective rate. Best values in green.</w:t>
      </w:r>
    </w:p>
    <w:p>
      <w:pPr>
        <w:pStyle w:val="ListParagraph"/>
        <w:numPr>
          <w:ilvl w:val="0"/>
          <w:numId w:val="2"/>
        </w:numPr>
        <w:spacing w:after="70"/>
      </w:pPr>
      <w:r>
        <w:rPr>
          <w:rFonts w:ascii="Arial" w:cs="Arial" w:eastAsia="Arial" w:hAnsi="Arial"/>
          <w:color w:val="343740"/>
          <w:sz w:val="21"/>
          <w:szCs w:val="21"/>
        </w:rPr>
        <w:t xml:space="preserve">☆ Recommend a scenario + a why note; the recommended column is highlighted and the proposal's main numbers follow it. Include-on-proposal checkbox. Branded comparison PDF.</w:t>
      </w:r>
    </w:p>
    <w:p>
      <w:pPr>
        <w:pStyle w:val="Heading2"/>
        <w:spacing w:after="120" w:before="260"/>
      </w:pPr>
      <w:r>
        <w:rPr>
          <w:rFonts w:ascii="Georgia" w:cs="Georgia" w:eastAsia="Georgia" w:hAnsi="Georgia"/>
          <w:color w:val="343740"/>
          <w:sz w:val="26"/>
          <w:szCs w:val="26"/>
        </w:rPr>
        <w:t xml:space="preserve">4.7 Client proposal</w:t>
      </w:r>
    </w:p>
    <w:p>
      <w:pPr>
        <w:pStyle w:val="ListParagraph"/>
        <w:numPr>
          <w:ilvl w:val="0"/>
          <w:numId w:val="2"/>
        </w:numPr>
        <w:spacing w:after="70"/>
      </w:pPr>
      <w:r>
        <w:rPr>
          <w:rFonts w:ascii="Arial" w:cs="Arial" w:eastAsia="Arial" w:hAnsi="Arial"/>
          <w:color w:val="343740"/>
          <w:sz w:val="21"/>
          <w:szCs w:val="21"/>
        </w:rPr>
        <w:t xml:space="preserve">Benefits-only by design: every claim gates on being true for the client's numbers. A negative never appears; a higher-rate scenario simply shows fewer bullets.</w:t>
      </w:r>
    </w:p>
    <w:p>
      <w:pPr>
        <w:pStyle w:val="ListParagraph"/>
        <w:numPr>
          <w:ilvl w:val="0"/>
          <w:numId w:val="2"/>
        </w:numPr>
        <w:spacing w:after="70"/>
      </w:pPr>
      <w:r>
        <w:rPr>
          <w:rFonts w:ascii="Arial" w:cs="Arial" w:eastAsia="Arial" w:hAnsi="Arial"/>
          <w:color w:val="343740"/>
          <w:sz w:val="21"/>
          <w:szCs w:val="21"/>
        </w:rPr>
        <w:t xml:space="preserve">Benefits that can appear: monthly cash flow, blended rate replaced, debts consolidated, skipped-payment cash, debt-free sooner (+ interest saved when positive), effective rate paying what you pay now, no prepayment penalty, FHA Streamline lender-paid costs and no appraisal, VA IRRRL, cash out, first mortgage untouched.</w:t>
      </w:r>
    </w:p>
    <w:p>
      <w:pPr>
        <w:pStyle w:val="ListParagraph"/>
        <w:numPr>
          <w:ilvl w:val="0"/>
          <w:numId w:val="2"/>
        </w:numPr>
        <w:spacing w:after="70"/>
      </w:pPr>
      <w:r>
        <w:rPr>
          <w:rFonts w:ascii="Arial" w:cs="Arial" w:eastAsia="Arial" w:hAnsi="Arial"/>
          <w:color w:val="343740"/>
          <w:sz w:val="21"/>
          <w:szCs w:val="21"/>
        </w:rPr>
        <w:t xml:space="preserve">Program options table with ★ Recommended and the banker's why note; optional options-side-by-side section from Compare.</w:t>
      </w:r>
    </w:p>
    <w:p>
      <w:pPr>
        <w:pStyle w:val="ListParagraph"/>
        <w:numPr>
          <w:ilvl w:val="0"/>
          <w:numId w:val="2"/>
        </w:numPr>
        <w:spacing w:after="70"/>
      </w:pPr>
      <w:r>
        <w:rPr>
          <w:rFonts w:ascii="Arial" w:cs="Arial" w:eastAsia="Arial" w:hAnsi="Arial"/>
          <w:color w:val="343740"/>
          <w:sz w:val="21"/>
          <w:szCs w:val="21"/>
        </w:rPr>
        <w:t xml:space="preserve">Today vs proposed table, escrow note, debts-paid-at-closing table, wins-only stat strip, pay-what-you-pay-now snapshot, TRID-safe disclaimer, Equal Housing, NMLS footer.</w:t>
      </w:r>
    </w:p>
    <w:p>
      <w:pPr>
        <w:pStyle w:val="ListParagraph"/>
        <w:numPr>
          <w:ilvl w:val="0"/>
          <w:numId w:val="2"/>
        </w:numPr>
        <w:spacing w:after="70"/>
      </w:pPr>
      <w:r>
        <w:rPr>
          <w:rFonts w:ascii="Arial" w:cs="Arial" w:eastAsia="Arial" w:hAnsi="Arial"/>
          <w:color w:val="343740"/>
          <w:sz w:val="21"/>
          <w:szCs w:val="21"/>
        </w:rPr>
        <w:t xml:space="preserve">PDF via Print → Save as PDF with a client-facing window title, forced color printing, borders as fallback, page-break control. No internal wording on the page.</w:t>
      </w:r>
    </w:p>
    <w:p>
      <w:pPr>
        <w:pStyle w:val="Heading2"/>
        <w:spacing w:after="120" w:before="260"/>
      </w:pPr>
      <w:r>
        <w:rPr>
          <w:rFonts w:ascii="Georgia" w:cs="Georgia" w:eastAsia="Georgia" w:hAnsi="Georgia"/>
          <w:color w:val="343740"/>
          <w:sz w:val="26"/>
          <w:szCs w:val="26"/>
        </w:rPr>
        <w:t xml:space="preserve">4.8 Scripts &amp; templates</w:t>
      </w:r>
    </w:p>
    <w:p>
      <w:pPr>
        <w:spacing w:after="120"/>
      </w:pPr>
      <w:r>
        <w:rPr>
          <w:rFonts w:ascii="Arial" w:cs="Arial" w:eastAsia="Arial" w:hAnsi="Arial"/>
          <w:color w:val="343740"/>
          <w:sz w:val="21"/>
          <w:szCs w:val="21"/>
        </w:rPr>
        <w:t xml:space="preserve">Company library (pushed from management), team-shared pool (bankers opt in per template; unsharing removes it), and the banker's own. Copy fills tokens ({client_first}, {banker}, {banker_phone}, {rate}, …) for the selected client.</w:t>
      </w:r>
    </w:p>
    <w:p>
      <w:pPr>
        <w:pStyle w:val="Heading2"/>
        <w:spacing w:after="120" w:before="260"/>
      </w:pPr>
      <w:r>
        <w:rPr>
          <w:rFonts w:ascii="Georgia" w:cs="Georgia" w:eastAsia="Georgia" w:hAnsi="Georgia"/>
          <w:color w:val="343740"/>
          <w:sz w:val="26"/>
          <w:szCs w:val="26"/>
        </w:rPr>
        <w:t xml:space="preserve">4.9 Tools (mid-call calculator deck)</w:t>
      </w:r>
    </w:p>
    <w:p>
      <w:pPr>
        <w:pStyle w:val="ListParagraph"/>
        <w:numPr>
          <w:ilvl w:val="0"/>
          <w:numId w:val="2"/>
        </w:numPr>
        <w:spacing w:after="70"/>
      </w:pPr>
      <w:r>
        <w:rPr>
          <w:rFonts w:ascii="Arial" w:cs="Arial" w:eastAsia="Arial" w:hAnsi="Arial"/>
          <w:color w:val="343740"/>
          <w:sz w:val="21"/>
          <w:szCs w:val="21"/>
        </w:rPr>
        <w:t xml:space="preserve">Current vs new: three numbered steps (today's mortgage, debts, new loan) with rough inputs — actual payments, a rough debt rate with preset chips, an optional quoted payment — then Pay what they pay now or a custom extra → hero stats (blended today, on paper, effective) and a “say it like this” sentence. Auto-fills from the selected client; Turn into a quick quote.</w:t>
      </w:r>
    </w:p>
    <w:p>
      <w:pPr>
        <w:pStyle w:val="ListParagraph"/>
        <w:numPr>
          <w:ilvl w:val="0"/>
          <w:numId w:val="2"/>
        </w:numPr>
        <w:spacing w:after="70"/>
      </w:pPr>
      <w:r>
        <w:rPr>
          <w:rFonts w:ascii="Arial" w:cs="Arial" w:eastAsia="Arial" w:hAnsi="Arial"/>
          <w:color w:val="343740"/>
          <w:sz w:val="21"/>
          <w:szCs w:val="21"/>
        </w:rPr>
        <w:t xml:space="preserve">Rate ladder (every eighth around a center rate), break-even on costs, skipped-payment cash, cash available from the home at max LTV, how long a debt really takes at its minimum.</w:t>
      </w:r>
    </w:p>
    <w:p>
      <w:pPr>
        <w:pStyle w:val="Heading2"/>
        <w:spacing w:after="120" w:before="260"/>
      </w:pPr>
      <w:r>
        <w:rPr>
          <w:rFonts w:ascii="Georgia" w:cs="Georgia" w:eastAsia="Georgia" w:hAnsi="Georgia"/>
          <w:color w:val="343740"/>
          <w:sz w:val="26"/>
          <w:szCs w:val="26"/>
        </w:rPr>
        <w:t xml:space="preserve">4.10 Call blocks</w:t>
      </w:r>
    </w:p>
    <w:p>
      <w:pPr>
        <w:spacing w:after="120"/>
      </w:pPr>
      <w:r>
        <w:rPr>
          <w:rFonts w:ascii="Arial" w:cs="Arial" w:eastAsia="Arial" w:hAnsi="Arial"/>
          <w:color w:val="343740"/>
          <w:sz w:val="21"/>
          <w:szCs w:val="21"/>
        </w:rPr>
        <w:t xml:space="preserve">Standard day strip (9:00–10:30, 11:00–12:30, lunch, 1:30–3:00, 3:00–4:30 follow-ups). Big counters and a call-by-call log with exactly three outcomes: No answer / Not interested / Interested. Month stats vs folder goal, contact rate, dials/hour, history. Ending a block pushes stats and refreshes the team table. Team picture with month history; the banker's own row highlighted.</w:t>
      </w:r>
    </w:p>
    <w:p>
      <w:pPr>
        <w:pStyle w:val="Heading2"/>
        <w:spacing w:after="120" w:before="260"/>
      </w:pPr>
      <w:r>
        <w:rPr>
          <w:rFonts w:ascii="Georgia" w:cs="Georgia" w:eastAsia="Georgia" w:hAnsi="Georgia"/>
          <w:color w:val="343740"/>
          <w:sz w:val="26"/>
          <w:szCs w:val="26"/>
        </w:rPr>
        <w:t xml:space="preserve">4.11 My desk</w:t>
      </w:r>
    </w:p>
    <w:p>
      <w:pPr>
        <w:spacing w:after="120"/>
      </w:pPr>
      <w:r>
        <w:rPr>
          <w:rFonts w:ascii="Arial" w:cs="Arial" w:eastAsia="Arial" w:hAnsi="Arial"/>
          <w:color w:val="343740"/>
          <w:sz w:val="21"/>
          <w:szCs w:val="21"/>
        </w:rPr>
        <w:t xml:space="preserve">Banker file, current rates, 10-yr Treasury card with sparkline and direction note, rate history chart and delta table, the banker's month (loans closed, volume, folder pace, pipeline counts).</w:t>
      </w:r>
    </w:p>
    <w:p>
      <w:pPr>
        <w:pStyle w:val="Heading2"/>
        <w:spacing w:after="120" w:before="260"/>
      </w:pPr>
      <w:r>
        <w:rPr>
          <w:rFonts w:ascii="Georgia" w:cs="Georgia" w:eastAsia="Georgia" w:hAnsi="Georgia"/>
          <w:color w:val="343740"/>
          <w:sz w:val="26"/>
          <w:szCs w:val="26"/>
        </w:rPr>
        <w:t xml:space="preserve">4.12 Settings</w:t>
      </w:r>
    </w:p>
    <w:p>
      <w:pPr>
        <w:spacing w:after="120"/>
      </w:pPr>
      <w:r>
        <w:rPr>
          <w:rFonts w:ascii="Arial" w:cs="Arial" w:eastAsia="Arial" w:hAnsi="Arial"/>
          <w:color w:val="343740"/>
          <w:sz w:val="21"/>
          <w:szCs w:val="21"/>
        </w:rPr>
        <w:t xml:space="preserve">Your save file &amp; the home office (one block: local folder, export/import/erase; hub address → everything derives; online dot; backup state); banker info; Salesforce import instructions and the bookmarklet; Salesforce label map; data tools. Branding is locked to NMC and not editable by bankers.</w:t>
      </w:r>
    </w:p>
    <w:p>
      <w:pPr>
        <w:pStyle w:val="Heading1"/>
        <w:spacing w:after="160" w:before="360"/>
      </w:pPr>
      <w:r>
        <w:rPr>
          <w:rFonts w:ascii="Georgia" w:cs="Georgia" w:eastAsia="Georgia" w:hAnsi="Georgia"/>
          <w:color w:val="A53222"/>
          <w:sz w:val="34"/>
          <w:szCs w:val="34"/>
        </w:rPr>
        <w:t xml:space="preserve">5. Management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Room</w:t>
            </w:r>
          </w:p>
        </w:tc>
        <w:tc>
          <w:tcPr>
            <w:tcW w:type="dxa" w:w="19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Who</w:t>
            </w:r>
          </w:p>
        </w:tc>
        <w:tc>
          <w:tcPr>
            <w:tcW w:type="dxa" w:w="52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What it does</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Team dashboard</w:t>
            </w:r>
          </w:p>
        </w:tc>
        <w:tc>
          <w:tcPr>
            <w:tcW w:type="dxa" w:w="19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Leaders</w:t>
            </w:r>
          </w:p>
        </w:tc>
        <w:tc>
          <w:tcPr>
            <w:tcW w:type="dxa" w:w="5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Team totals, banker table with online dot, month history, rates + Treasury. Auto-refreshes every minute.</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Rate desk</w:t>
            </w:r>
          </w:p>
        </w:tc>
        <w:tc>
          <w:tcPr>
            <w:tcW w:type="dxa" w:w="19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Leaders / rate desk owner</w:t>
            </w:r>
          </w:p>
        </w:tc>
        <w:tc>
          <w:tcPr>
            <w:tcW w:type="dxa" w:w="5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Publish rates (Treasury preserved). If IT connects a pricing API, a one-click Pull prefills the desk for review.</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Template library</w:t>
            </w:r>
          </w:p>
        </w:tc>
        <w:tc>
          <w:tcPr>
            <w:tcW w:type="dxa" w:w="19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Leaders</w:t>
            </w:r>
          </w:p>
        </w:tc>
        <w:tc>
          <w:tcPr>
            <w:tcW w:type="dxa" w:w="5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Write company intros/texts/emails once, Publish → every toolkit. Promote banker-shared templates into the library.</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Presence &amp; IT admin</w:t>
            </w:r>
          </w:p>
        </w:tc>
        <w:tc>
          <w:tcPr>
            <w:tcW w:type="dxa" w:w="19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IT</w:t>
            </w:r>
          </w:p>
        </w:tc>
        <w:tc>
          <w:tcPr>
            <w:tcW w:type="dxa" w:w="5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Who has the toolkit open (heartbeats, name + timestamp only), mirrored banker save files (admin-token gated, download for recovery), pricing API plug-in, hub health, endpoint map incl. /api/snapshot.</w:t>
            </w:r>
          </w:p>
        </w:tc>
      </w:tr>
      <w:tr>
        <w:tc>
          <w:tcPr>
            <w:tcW w:type="dxa" w:w="2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Connection</w:t>
            </w:r>
          </w:p>
        </w:tc>
        <w:tc>
          <w:tcPr>
            <w:tcW w:type="dxa" w:w="19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IT</w:t>
            </w:r>
          </w:p>
        </w:tc>
        <w:tc>
          <w:tcPr>
            <w:tcW w:type="dxa" w:w="5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Server URL + admin token, or shared folder.</w:t>
            </w:r>
          </w:p>
        </w:tc>
      </w:tr>
    </w:tbl>
    <w:p>
      <w:pPr>
        <w:spacing w:after="120"/>
      </w:pPr>
      <w:r>
        <w:rPr>
          <w:rFonts w:ascii="Arial" w:cs="Arial" w:eastAsia="Arial" w:hAnsi="Arial"/>
          <w:color w:val="343740"/>
          <w:sz w:val="21"/>
          <w:szCs w:val="21"/>
        </w:rPr>
        <w:t xml:space="preserve">Works against the server or directly against the shared folder. The demo console shows a fictional five-banker floor with three months of history.</w:t>
      </w:r>
    </w:p>
    <w:p>
      <w:pPr>
        <w:pStyle w:val="Heading1"/>
        <w:spacing w:after="160" w:before="360"/>
      </w:pPr>
      <w:r>
        <w:rPr>
          <w:rFonts w:ascii="Georgia" w:cs="Georgia" w:eastAsia="Georgia" w:hAnsi="Georgia"/>
          <w:color w:val="A53222"/>
          <w:sz w:val="34"/>
          <w:szCs w:val="34"/>
        </w:rPr>
        <w:t xml:space="preserve">6. Central hub and bridge</w:t>
      </w:r>
    </w:p>
    <w:p>
      <w:pPr>
        <w:pStyle w:val="Heading2"/>
        <w:spacing w:after="120" w:before="260"/>
      </w:pPr>
      <w:r>
        <w:rPr>
          <w:rFonts w:ascii="Georgia" w:cs="Georgia" w:eastAsia="Georgia" w:hAnsi="Georgia"/>
          <w:color w:val="343740"/>
          <w:sz w:val="26"/>
          <w:szCs w:val="26"/>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60"/>
        <w:gridCol w:w="1500"/>
      </w:tblGrid>
      <w:tr>
        <w:trPr>
          <w:tblHeader/>
        </w:trPr>
        <w:tc>
          <w:tcPr>
            <w:tcW w:type="dxa" w:w="36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Endpoint</w:t>
            </w:r>
          </w:p>
        </w:tc>
        <w:tc>
          <w:tcPr>
            <w:tcW w:type="dxa" w:w="42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Purpose</w:t>
            </w:r>
          </w:p>
        </w:tc>
        <w:tc>
          <w:tcPr>
            <w:tcW w:type="dxa" w:w="15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Auth</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/rates.json</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Rate feed toolkits poll (carries treasury block)</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POST /api/rates</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Publish rates</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admin token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POST /api/blocks · GET /api/team</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Call-block reports in; team rollups + history out</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GET/POST /api/templates · /api/shared-templates</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Company library; banker-shared pool</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POST library: admin token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POST /api/heartbeat · GET /api/presence</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Presence</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POST /api/save · GET /api/saves[/slug]</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Save mirror in; index and full saves out</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admin token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/import · GET /api/inbox · POST /api/inbox/ack</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Salesforce button target; per-banker inbox; ack</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optional import key</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/api/avm?address=</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AVM plug-in (provider set by env)</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/api/treasury · /api/rate-history · /api/rates.csv · /api/master.csv</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Treasury, history, Excel exports</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/api/snapshot</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Everything, self-describing JSON — the future AI/analytics hook (metadata only for saves)</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open</w:t>
            </w:r>
          </w:p>
        </w:tc>
      </w:tr>
      <w:tr>
        <w:tc>
          <w:tcPr>
            <w:tcW w:type="dxa" w:w="36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GET / · GET /admin</w:t>
            </w:r>
          </w:p>
        </w:tc>
        <w:tc>
          <w:tcPr>
            <w:tcW w:type="dxa" w:w="42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Dashboard; rate publish page</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admin token for publish</w:t>
            </w:r>
          </w:p>
        </w:tc>
      </w:tr>
    </w:tbl>
    <w:p>
      <w:pPr>
        <w:pStyle w:val="Heading2"/>
        <w:spacing w:after="120" w:before="260"/>
      </w:pPr>
      <w:r>
        <w:rPr>
          <w:rFonts w:ascii="Georgia" w:cs="Georgia" w:eastAsia="Georgia" w:hAnsi="Georgia"/>
          <w:color w:val="343740"/>
          <w:sz w:val="26"/>
          <w:szCs w:val="26"/>
        </w:rPr>
        <w:t xml:space="preserve">6.2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Variable</w:t>
            </w:r>
          </w:p>
        </w:tc>
        <w:tc>
          <w:tcPr>
            <w:tcW w:type="dxa" w:w="61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Meaning</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PORT</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Default 8787</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NMC_ADMIN_TOKEN</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Protects publishing and save-file reads. Change from the default before use.</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NMC_ALLOW_ORIGIN</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CORS origin if exposed beyond the LAN</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NMC_TREASURY=off</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Disable the hourly treasury.gov fetch on an air-gapped hub</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NMC_IMPORT_KEY</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Secret the Salesforce button must include</w:t>
            </w:r>
          </w:p>
        </w:tc>
      </w:tr>
      <w:tr>
        <w:tc>
          <w:tcPr>
            <w:tcW w:type="dxa" w:w="32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NMC_AVM_URL / _HEADERS / _PATH / _LOW / _HIGH / _CONF / _SOURCE</w:t>
            </w:r>
          </w:p>
        </w:tc>
        <w:tc>
          <w:tcPr>
            <w:tcW w:type="dxa" w:w="61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AVM provider plug-in</w:t>
            </w:r>
          </w:p>
        </w:tc>
      </w:tr>
    </w:tbl>
    <w:p>
      <w:pPr>
        <w:pStyle w:val="Heading2"/>
        <w:spacing w:after="120" w:before="260"/>
      </w:pPr>
      <w:r>
        <w:rPr>
          <w:rFonts w:ascii="Georgia" w:cs="Georgia" w:eastAsia="Georgia" w:hAnsi="Georgia"/>
          <w:color w:val="343740"/>
          <w:sz w:val="26"/>
          <w:szCs w:val="26"/>
        </w:rPr>
        <w:t xml:space="preserve">6.3 The 10-yr Treasury</w:t>
      </w:r>
    </w:p>
    <w:p>
      <w:pPr>
        <w:spacing w:after="120"/>
      </w:pPr>
      <w:r>
        <w:rPr>
          <w:rFonts w:ascii="Arial" w:cs="Arial" w:eastAsia="Arial" w:hAnsi="Arial"/>
          <w:color w:val="343740"/>
          <w:sz w:val="21"/>
          <w:szCs w:val="21"/>
        </w:rPr>
        <w:t xml:space="preserve">Pulled hourly from treasury.gov's official XML (no account, no key), 30-day history, merged into rates.json so it rides the existing pipe and the drive relay. Shown to bankers and leaders as direction only — “when the 10-yr falls, mortgage pricing usually follows; check lender pricing and publish.” Never client-facing.</w:t>
      </w:r>
    </w:p>
    <w:p>
      <w:pPr>
        <w:pStyle w:val="Heading1"/>
        <w:spacing w:after="160" w:before="360"/>
      </w:pPr>
      <w:r>
        <w:rPr>
          <w:rFonts w:ascii="Georgia" w:cs="Georgia" w:eastAsia="Georgia" w:hAnsi="Georgia"/>
          <w:color w:val="A53222"/>
          <w:sz w:val="34"/>
          <w:szCs w:val="34"/>
        </w:rPr>
        <w:t xml:space="preserve">7. Calculation methodology</w:t>
      </w:r>
    </w:p>
    <w:p>
      <w:pPr>
        <w:pStyle w:val="ListParagraph"/>
        <w:numPr>
          <w:ilvl w:val="0"/>
          <w:numId w:val="2"/>
        </w:numPr>
        <w:spacing w:after="70"/>
      </w:pPr>
      <w:r>
        <w:rPr>
          <w:rFonts w:ascii="Arial" w:cs="Arial" w:eastAsia="Arial" w:hAnsi="Arial"/>
          <w:b/>
          <w:bCs/>
          <w:color w:val="343740"/>
          <w:sz w:val="21"/>
          <w:szCs w:val="21"/>
        </w:rPr>
        <w:t xml:space="preserve">Amortization: </w:t>
      </w:r>
      <w:r>
        <w:rPr>
          <w:rFonts w:ascii="Arial" w:cs="Arial" w:eastAsia="Arial" w:hAnsi="Arial"/>
          <w:color w:val="343740"/>
          <w:sz w:val="21"/>
          <w:szCs w:val="21"/>
        </w:rPr>
        <w:t xml:space="preserve">standard monthly schedule; an actual payment, when known, sets the schedule (months left becomes derived).</w:t>
      </w:r>
    </w:p>
    <w:p>
      <w:pPr>
        <w:pStyle w:val="ListParagraph"/>
        <w:numPr>
          <w:ilvl w:val="0"/>
          <w:numId w:val="2"/>
        </w:numPr>
        <w:spacing w:after="70"/>
      </w:pPr>
      <w:r>
        <w:rPr>
          <w:rFonts w:ascii="Arial" w:cs="Arial" w:eastAsia="Arial" w:hAnsi="Arial"/>
          <w:b/>
          <w:bCs/>
          <w:color w:val="343740"/>
          <w:sz w:val="21"/>
          <w:szCs w:val="21"/>
        </w:rPr>
        <w:t xml:space="preserve">P&amp;I vs escrow: </w:t>
      </w:r>
      <w:r>
        <w:rPr>
          <w:rFonts w:ascii="Arial" w:cs="Arial" w:eastAsia="Arial" w:hAnsi="Arial"/>
          <w:color w:val="343740"/>
          <w:sz w:val="21"/>
          <w:szCs w:val="21"/>
        </w:rPr>
        <w:t xml:space="preserve">from the total payment, P&amp;I is computed from balance/rate/term and escrow is the remainder; a 3% tolerance avoids inventing tiny escrows. Comparisons are always P&amp;I to P&amp;I with escrow noted as unchanged.</w:t>
      </w:r>
    </w:p>
    <w:p>
      <w:pPr>
        <w:pStyle w:val="ListParagraph"/>
        <w:numPr>
          <w:ilvl w:val="0"/>
          <w:numId w:val="2"/>
        </w:numPr>
        <w:spacing w:after="70"/>
      </w:pPr>
      <w:r>
        <w:rPr>
          <w:rFonts w:ascii="Arial" w:cs="Arial" w:eastAsia="Arial" w:hAnsi="Arial"/>
          <w:b/>
          <w:bCs/>
          <w:color w:val="343740"/>
          <w:sz w:val="21"/>
          <w:szCs w:val="21"/>
        </w:rPr>
        <w:t xml:space="preserve">Blended rate: </w:t>
      </w:r>
      <w:r>
        <w:rPr>
          <w:rFonts w:ascii="Arial" w:cs="Arial" w:eastAsia="Arial" w:hAnsi="Arial"/>
          <w:color w:val="343740"/>
          <w:sz w:val="21"/>
          <w:szCs w:val="21"/>
        </w:rPr>
        <w:t xml:space="preserve">balance-weighted across the mortgage and debts with known APRs; debts without an APR are excluded and the count is shown.</w:t>
      </w:r>
    </w:p>
    <w:p>
      <w:pPr>
        <w:pStyle w:val="ListParagraph"/>
        <w:numPr>
          <w:ilvl w:val="0"/>
          <w:numId w:val="2"/>
        </w:numPr>
        <w:spacing w:after="70"/>
      </w:pPr>
      <w:r>
        <w:rPr>
          <w:rFonts w:ascii="Arial" w:cs="Arial" w:eastAsia="Arial" w:hAnsi="Arial"/>
          <w:b/>
          <w:bCs/>
          <w:color w:val="343740"/>
          <w:sz w:val="21"/>
          <w:szCs w:val="21"/>
        </w:rPr>
        <w:t xml:space="preserve">Pay what you pay now: </w:t>
      </w:r>
      <w:r>
        <w:rPr>
          <w:rFonts w:ascii="Arial" w:cs="Arial" w:eastAsia="Arial" w:hAnsi="Arial"/>
          <w:color w:val="343740"/>
          <w:sz w:val="21"/>
          <w:szCs w:val="21"/>
        </w:rPr>
        <w:t xml:space="preserve">extra to principal = today's outlay (mortgage + debt payments + any extra already paid) − new payment; accelerated schedule gives payoff time and total interest.</w:t>
      </w:r>
    </w:p>
    <w:p>
      <w:pPr>
        <w:pStyle w:val="ListParagraph"/>
        <w:numPr>
          <w:ilvl w:val="0"/>
          <w:numId w:val="2"/>
        </w:numPr>
        <w:spacing w:after="70"/>
      </w:pPr>
      <w:r>
        <w:rPr>
          <w:rFonts w:ascii="Arial" w:cs="Arial" w:eastAsia="Arial" w:hAnsi="Arial"/>
          <w:b/>
          <w:bCs/>
          <w:color w:val="343740"/>
          <w:sz w:val="21"/>
          <w:szCs w:val="21"/>
        </w:rPr>
        <w:t xml:space="preserve">Effective rate: </w:t>
      </w:r>
      <w:r>
        <w:rPr>
          <w:rFonts w:ascii="Arial" w:cs="Arial" w:eastAsia="Arial" w:hAnsi="Arial"/>
          <w:color w:val="343740"/>
          <w:sz w:val="21"/>
          <w:szCs w:val="21"/>
        </w:rPr>
        <w:t xml:space="preserve">the plain-amortization rate over the same term that would cost the same total interest as the accelerated payoff — solved by bisection and verified by re-amortizing. This is the honest framing for “the rate is higher.”</w:t>
      </w:r>
    </w:p>
    <w:p>
      <w:pPr>
        <w:pStyle w:val="ListParagraph"/>
        <w:numPr>
          <w:ilvl w:val="0"/>
          <w:numId w:val="2"/>
        </w:numPr>
        <w:spacing w:after="70"/>
      </w:pPr>
      <w:r>
        <w:rPr>
          <w:rFonts w:ascii="Arial" w:cs="Arial" w:eastAsia="Arial" w:hAnsi="Arial"/>
          <w:b/>
          <w:bCs/>
          <w:color w:val="343740"/>
          <w:sz w:val="21"/>
          <w:szCs w:val="21"/>
        </w:rPr>
        <w:t xml:space="preserve">Skipped payments: </w:t>
      </w:r>
      <w:r>
        <w:rPr>
          <w:rFonts w:ascii="Arial" w:cs="Arial" w:eastAsia="Arial" w:hAnsi="Arial"/>
          <w:color w:val="343740"/>
          <w:sz w:val="21"/>
          <w:szCs w:val="21"/>
        </w:rPr>
        <w:t xml:space="preserve">months × current P&amp;I; never on FHA Streamlines; never on second liens.</w:t>
      </w:r>
    </w:p>
    <w:p>
      <w:pPr>
        <w:pStyle w:val="ListParagraph"/>
        <w:numPr>
          <w:ilvl w:val="0"/>
          <w:numId w:val="2"/>
        </w:numPr>
        <w:spacing w:after="70"/>
      </w:pPr>
      <w:r>
        <w:rPr>
          <w:rFonts w:ascii="Arial" w:cs="Arial" w:eastAsia="Arial" w:hAnsi="Arial"/>
          <w:b/>
          <w:bCs/>
          <w:color w:val="343740"/>
          <w:sz w:val="21"/>
          <w:szCs w:val="21"/>
        </w:rPr>
        <w:t xml:space="preserve">FHA Streamline: </w:t>
      </w:r>
      <w:r>
        <w:rPr>
          <w:rFonts w:ascii="Arial" w:cs="Arial" w:eastAsia="Arial" w:hAnsi="Arial"/>
          <w:color w:val="343740"/>
          <w:sz w:val="21"/>
          <w:szCs w:val="21"/>
        </w:rPr>
        <w:t xml:space="preserve">costs lender-paid (0 out of pocket); upfront MIP (1.75% default, editable) financed into the loan; no skipped payment.</w:t>
      </w:r>
    </w:p>
    <w:p>
      <w:pPr>
        <w:pStyle w:val="ListParagraph"/>
        <w:numPr>
          <w:ilvl w:val="0"/>
          <w:numId w:val="2"/>
        </w:numPr>
        <w:spacing w:after="70"/>
      </w:pPr>
      <w:r>
        <w:rPr>
          <w:rFonts w:ascii="Arial" w:cs="Arial" w:eastAsia="Arial" w:hAnsi="Arial"/>
          <w:b/>
          <w:bCs/>
          <w:color w:val="343740"/>
          <w:sz w:val="21"/>
          <w:szCs w:val="21"/>
        </w:rPr>
        <w:t xml:space="preserve">Scenario comparison: </w:t>
      </w:r>
      <w:r>
        <w:rPr>
          <w:rFonts w:ascii="Arial" w:cs="Arial" w:eastAsia="Arial" w:hAnsi="Arial"/>
          <w:color w:val="343740"/>
          <w:sz w:val="21"/>
          <w:szCs w:val="21"/>
        </w:rPr>
        <w:t xml:space="preserve">HELOC modeled as interest-only during the draw, then amortizing; first-5-year and lifetime interest; payoff dates; pay-what-you-pay-now block when toggled.</w:t>
      </w:r>
    </w:p>
    <w:p>
      <w:pPr>
        <w:pStyle w:val="ListParagraph"/>
        <w:numPr>
          <w:ilvl w:val="0"/>
          <w:numId w:val="2"/>
        </w:numPr>
        <w:spacing w:after="70"/>
      </w:pPr>
      <w:r>
        <w:rPr>
          <w:rFonts w:ascii="Arial" w:cs="Arial" w:eastAsia="Arial" w:hAnsi="Arial"/>
          <w:b/>
          <w:bCs/>
          <w:color w:val="343740"/>
          <w:sz w:val="21"/>
          <w:szCs w:val="21"/>
        </w:rPr>
        <w:t xml:space="preserve">Break-even: </w:t>
      </w:r>
      <w:r>
        <w:rPr>
          <w:rFonts w:ascii="Arial" w:cs="Arial" w:eastAsia="Arial" w:hAnsi="Arial"/>
          <w:color w:val="343740"/>
          <w:sz w:val="21"/>
          <w:szCs w:val="21"/>
        </w:rPr>
        <w:t xml:space="preserve">closing costs ÷ monthly savings.</w:t>
      </w:r>
    </w:p>
    <w:p>
      <w:pPr>
        <w:pStyle w:val="Heading1"/>
        <w:spacing w:after="160" w:before="360"/>
      </w:pPr>
      <w:r>
        <w:rPr>
          <w:rFonts w:ascii="Georgia" w:cs="Georgia" w:eastAsia="Georgia" w:hAnsi="Georgia"/>
          <w:color w:val="A53222"/>
          <w:sz w:val="34"/>
          <w:szCs w:val="34"/>
        </w:rPr>
        <w:t xml:space="preserve">8. Data, privacy, and compliance</w:t>
      </w:r>
    </w:p>
    <w:p>
      <w:pPr>
        <w:pStyle w:val="ListParagraph"/>
        <w:numPr>
          <w:ilvl w:val="0"/>
          <w:numId w:val="2"/>
        </w:numPr>
        <w:spacing w:after="70"/>
      </w:pPr>
      <w:r>
        <w:rPr>
          <w:rFonts w:ascii="Arial" w:cs="Arial" w:eastAsia="Arial" w:hAnsi="Arial"/>
          <w:color w:val="343740"/>
          <w:sz w:val="21"/>
          <w:szCs w:val="21"/>
        </w:rPr>
        <w:t xml:space="preserve">Never captured, anywhere, from any source: SSN, birthdate, age, marital status. The parser drops them before preview; the hub refuses them as URL parameters.</w:t>
      </w:r>
    </w:p>
    <w:p>
      <w:pPr>
        <w:pStyle w:val="ListParagraph"/>
        <w:numPr>
          <w:ilvl w:val="0"/>
          <w:numId w:val="2"/>
        </w:numPr>
        <w:spacing w:after="70"/>
      </w:pPr>
      <w:r>
        <w:rPr>
          <w:rFonts w:ascii="Arial" w:cs="Arial" w:eastAsia="Arial" w:hAnsi="Arial"/>
          <w:color w:val="343740"/>
          <w:sz w:val="21"/>
          <w:szCs w:val="21"/>
        </w:rPr>
        <w:t xml:space="preserve">Counts-only streams: call blocks and presence carry no client data.</w:t>
      </w:r>
    </w:p>
    <w:p>
      <w:pPr>
        <w:pStyle w:val="ListParagraph"/>
        <w:numPr>
          <w:ilvl w:val="0"/>
          <w:numId w:val="2"/>
        </w:numPr>
        <w:spacing w:after="70"/>
      </w:pPr>
      <w:r>
        <w:rPr>
          <w:rFonts w:ascii="Arial" w:cs="Arial" w:eastAsia="Arial" w:hAnsi="Arial"/>
          <w:color w:val="343740"/>
          <w:sz w:val="21"/>
          <w:szCs w:val="21"/>
        </w:rPr>
        <w:t xml:space="preserve">Client data leaves a banker's machine only via (a) the save mirror to the hub and (b) the Salesforce button through the hub — both deliberate, both documented. Save-file reads on the hub require the admin token; /api/snapshot never includes saves themselves.</w:t>
      </w:r>
    </w:p>
    <w:p>
      <w:pPr>
        <w:pStyle w:val="ListParagraph"/>
        <w:numPr>
          <w:ilvl w:val="0"/>
          <w:numId w:val="2"/>
        </w:numPr>
        <w:spacing w:after="70"/>
      </w:pPr>
      <w:r>
        <w:rPr>
          <w:rFonts w:ascii="Arial" w:cs="Arial" w:eastAsia="Arial" w:hAnsi="Arial"/>
          <w:color w:val="343740"/>
          <w:sz w:val="21"/>
          <w:szCs w:val="21"/>
        </w:rPr>
        <w:t xml:space="preserve">The hub therefore holds client data: keep it on the LAN/VPN or behind HTTPS with auth; nightly backups of data/; restricted OS access. Stated in the guide for IT.</w:t>
      </w:r>
    </w:p>
    <w:p>
      <w:pPr>
        <w:pStyle w:val="ListParagraph"/>
        <w:numPr>
          <w:ilvl w:val="0"/>
          <w:numId w:val="2"/>
        </w:numPr>
        <w:spacing w:after="70"/>
      </w:pPr>
      <w:r>
        <w:rPr>
          <w:rFonts w:ascii="Arial" w:cs="Arial" w:eastAsia="Arial" w:hAnsi="Arial"/>
          <w:color w:val="343740"/>
          <w:sz w:val="21"/>
          <w:szCs w:val="21"/>
        </w:rPr>
        <w:t xml:space="preserve">Proposal language: titled Savings Proposal (not Loan Estimate — TRID), disclaimer on every export, Equal Housing, NMLS footer, benefits gated on being true, FHA/VA program statements kept to standard program facts, no-prepayment-penalty stated as a program benefit (confirm applies to all NMC products).</w:t>
      </w:r>
    </w:p>
    <w:p>
      <w:pPr>
        <w:pStyle w:val="ListParagraph"/>
        <w:numPr>
          <w:ilvl w:val="0"/>
          <w:numId w:val="2"/>
        </w:numPr>
        <w:spacing w:after="70"/>
      </w:pPr>
      <w:r>
        <w:rPr>
          <w:rFonts w:ascii="Arial" w:cs="Arial" w:eastAsia="Arial" w:hAnsi="Arial"/>
          <w:color w:val="343740"/>
          <w:sz w:val="21"/>
          <w:szCs w:val="21"/>
        </w:rPr>
        <w:t xml:space="preserve">Branding locked in the banker toolkit — company controls the look; bankers edit only their own info.</w:t>
      </w:r>
    </w:p>
    <w:p>
      <w:pPr>
        <w:pStyle w:val="ListParagraph"/>
        <w:numPr>
          <w:ilvl w:val="0"/>
          <w:numId w:val="2"/>
        </w:numPr>
        <w:spacing w:after="70"/>
      </w:pPr>
      <w:r>
        <w:rPr>
          <w:rFonts w:ascii="Arial" w:cs="Arial" w:eastAsia="Arial" w:hAnsi="Arial"/>
          <w:color w:val="343740"/>
          <w:sz w:val="21"/>
          <w:szCs w:val="21"/>
        </w:rPr>
        <w:t xml:space="preserve">Recording/transcription (future Dialpad work): NMC is licensed in all-party-consent states (CA, WA, FL among them); confirm Dialpad's disclosure covers it before any transcript feature; any language model in the loop needs a data agreement, or classification stays rules-based on the hub.</w:t>
      </w:r>
    </w:p>
    <w:p>
      <w:pPr>
        <w:pStyle w:val="Heading1"/>
        <w:spacing w:after="160" w:before="360"/>
      </w:pPr>
      <w:r>
        <w:rPr>
          <w:rFonts w:ascii="Georgia" w:cs="Georgia" w:eastAsia="Georgia" w:hAnsi="Georgia"/>
          <w:color w:val="A53222"/>
          <w:sz w:val="34"/>
          <w:szCs w:val="34"/>
        </w:rPr>
        <w:t xml:space="preserve">9. Integrations</w:t>
      </w:r>
    </w:p>
    <w:p>
      <w:pPr>
        <w:pStyle w:val="Heading2"/>
        <w:spacing w:after="120" w:before="260"/>
      </w:pPr>
      <w:r>
        <w:rPr>
          <w:rFonts w:ascii="Georgia" w:cs="Georgia" w:eastAsia="Georgia" w:hAnsi="Georgia"/>
          <w:color w:val="343740"/>
          <w:sz w:val="26"/>
          <w:szCs w:val="26"/>
        </w:rPr>
        <w:t xml:space="preserve">9.1 Built</w:t>
      </w:r>
    </w:p>
    <w:p>
      <w:pPr>
        <w:pStyle w:val="ListParagraph"/>
        <w:numPr>
          <w:ilvl w:val="0"/>
          <w:numId w:val="2"/>
        </w:numPr>
        <w:spacing w:after="70"/>
      </w:pPr>
      <w:r>
        <w:rPr>
          <w:rFonts w:ascii="Arial" w:cs="Arial" w:eastAsia="Arial" w:hAnsi="Arial"/>
          <w:b/>
          <w:bCs/>
          <w:color w:val="343740"/>
          <w:sz w:val="21"/>
          <w:szCs w:val="21"/>
        </w:rPr>
        <w:t xml:space="preserve">Salesforce on-demand import: </w:t>
      </w:r>
      <w:r>
        <w:rPr>
          <w:rFonts w:ascii="Arial" w:cs="Arial" w:eastAsia="Arial" w:hAnsi="Arial"/>
          <w:color w:val="343740"/>
          <w:sz w:val="21"/>
          <w:szCs w:val="21"/>
        </w:rPr>
        <w:t xml:space="preserve">a custom URL button on the Lead page (admin adds it in minutes, no code) sends that one record to the hub; the banker's toolkit shows New from Salesforce → Import → review-before-apply. Salesforce never needs to reach the hub — only the banker's browser does. Bookmarklet + paste-from-clipboard fallback with no hub.</w:t>
      </w:r>
    </w:p>
    <w:p>
      <w:pPr>
        <w:pStyle w:val="ListParagraph"/>
        <w:numPr>
          <w:ilvl w:val="0"/>
          <w:numId w:val="2"/>
        </w:numPr>
        <w:spacing w:after="70"/>
      </w:pPr>
      <w:r>
        <w:rPr>
          <w:rFonts w:ascii="Arial" w:cs="Arial" w:eastAsia="Arial" w:hAnsi="Arial"/>
          <w:b/>
          <w:bCs/>
          <w:color w:val="343740"/>
          <w:sz w:val="21"/>
          <w:szCs w:val="21"/>
        </w:rPr>
        <w:t xml:space="preserve">Save mirror: </w:t>
      </w:r>
      <w:r>
        <w:rPr>
          <w:rFonts w:ascii="Arial" w:cs="Arial" w:eastAsia="Arial" w:hAnsi="Arial"/>
          <w:color w:val="343740"/>
          <w:sz w:val="21"/>
          <w:szCs w:val="21"/>
        </w:rPr>
        <w:t xml:space="preserve">per-banker full saves on the hub, admin-gated, downloadable for laptop-died recovery.</w:t>
      </w:r>
    </w:p>
    <w:p>
      <w:pPr>
        <w:pStyle w:val="ListParagraph"/>
        <w:numPr>
          <w:ilvl w:val="0"/>
          <w:numId w:val="2"/>
        </w:numPr>
        <w:spacing w:after="70"/>
      </w:pPr>
      <w:r>
        <w:rPr>
          <w:rFonts w:ascii="Arial" w:cs="Arial" w:eastAsia="Arial" w:hAnsi="Arial"/>
          <w:b/>
          <w:bCs/>
          <w:color w:val="343740"/>
          <w:sz w:val="21"/>
          <w:szCs w:val="21"/>
        </w:rPr>
        <w:t xml:space="preserve">AVM plug-in: </w:t>
      </w:r>
      <w:r>
        <w:rPr>
          <w:rFonts w:ascii="Arial" w:cs="Arial" w:eastAsia="Arial" w:hAnsi="Arial"/>
          <w:color w:val="343740"/>
          <w:sz w:val="21"/>
          <w:szCs w:val="21"/>
        </w:rPr>
        <w:t xml:space="preserve">provider-agnostic hub endpoint; Estimate-value button in the toolkit with provenance (source, date, range). Pennymac's estimator is Clear Capital's Consumer AVM licensed for personal, non-commercial use with no API, so it is linked for manual lookups; automation needs a licensed provider (Clear Capital directly, ATTOM, CoreLogic, ICE, HouseCanary, or a lighter one like RentCast).</w:t>
      </w:r>
    </w:p>
    <w:p>
      <w:pPr>
        <w:pStyle w:val="ListParagraph"/>
        <w:numPr>
          <w:ilvl w:val="0"/>
          <w:numId w:val="2"/>
        </w:numPr>
        <w:spacing w:after="70"/>
      </w:pPr>
      <w:r>
        <w:rPr>
          <w:rFonts w:ascii="Arial" w:cs="Arial" w:eastAsia="Arial" w:hAnsi="Arial"/>
          <w:b/>
          <w:bCs/>
          <w:color w:val="343740"/>
          <w:sz w:val="21"/>
          <w:szCs w:val="21"/>
        </w:rPr>
        <w:t xml:space="preserve">Pricing API hook: </w:t>
      </w:r>
      <w:r>
        <w:rPr>
          <w:rFonts w:ascii="Arial" w:cs="Arial" w:eastAsia="Arial" w:hAnsi="Arial"/>
          <w:color w:val="343740"/>
          <w:sz w:val="21"/>
          <w:szCs w:val="21"/>
        </w:rPr>
        <w:t xml:space="preserve">IT connects a pricing endpoint; leadership gets a one-click Pull on the rate desk.</w:t>
      </w:r>
    </w:p>
    <w:p>
      <w:pPr>
        <w:pStyle w:val="ListParagraph"/>
        <w:numPr>
          <w:ilvl w:val="0"/>
          <w:numId w:val="2"/>
        </w:numPr>
        <w:spacing w:after="70"/>
      </w:pPr>
      <w:r>
        <w:rPr>
          <w:rFonts w:ascii="Arial" w:cs="Arial" w:eastAsia="Arial" w:hAnsi="Arial"/>
          <w:b/>
          <w:bCs/>
          <w:color w:val="343740"/>
          <w:sz w:val="21"/>
          <w:szCs w:val="21"/>
        </w:rPr>
        <w:t xml:space="preserve">10-yr Treasury: </w:t>
      </w:r>
      <w:r>
        <w:rPr>
          <w:rFonts w:ascii="Arial" w:cs="Arial" w:eastAsia="Arial" w:hAnsi="Arial"/>
          <w:color w:val="343740"/>
          <w:sz w:val="21"/>
          <w:szCs w:val="21"/>
        </w:rPr>
        <w:t xml:space="preserve">automatic.</w:t>
      </w:r>
    </w:p>
    <w:p>
      <w:pPr>
        <w:pStyle w:val="Heading2"/>
        <w:spacing w:after="120" w:before="260"/>
      </w:pPr>
      <w:r>
        <w:rPr>
          <w:rFonts w:ascii="Georgia" w:cs="Georgia" w:eastAsia="Georgia" w:hAnsi="Georgia"/>
          <w:color w:val="343740"/>
          <w:sz w:val="26"/>
          <w:szCs w:val="26"/>
        </w:rPr>
        <w:t xml:space="preserve">9.2 Designed, awaiting company systems (see SALESFORCE-INTEGRATION.md)</w:t>
      </w:r>
    </w:p>
    <w:p>
      <w:pPr>
        <w:pStyle w:val="ListParagraph"/>
        <w:numPr>
          <w:ilvl w:val="0"/>
          <w:numId w:val="2"/>
        </w:numPr>
        <w:spacing w:after="70"/>
      </w:pPr>
      <w:r>
        <w:rPr>
          <w:rFonts w:ascii="Arial" w:cs="Arial" w:eastAsia="Arial" w:hAnsi="Arial"/>
          <w:b/>
          <w:bCs/>
          <w:color w:val="343740"/>
          <w:sz w:val="21"/>
          <w:szCs w:val="21"/>
        </w:rPr>
        <w:t xml:space="preserve">Five9 ring-time pop: </w:t>
      </w:r>
      <w:r>
        <w:rPr>
          <w:rFonts w:ascii="Arial" w:cs="Arial" w:eastAsia="Arial" w:hAnsi="Arial"/>
          <w:color w:val="343740"/>
          <w:sz w:val="21"/>
          <w:szCs w:val="21"/>
        </w:rPr>
        <w:t xml:space="preserve">bankers log into the Five9 Adapter for Salesforce (Open CTI). Five9 Workflow Automation posts call-connected events (agent, ANI, campaign, Salesforce record ID) to the hub → banker inbox → the client pops before the banker says hello, with the toolkit's math ready. The Salesforce Task Five9 writes at wrap-up is the post-call path.</w:t>
      </w:r>
    </w:p>
    <w:p>
      <w:pPr>
        <w:pStyle w:val="ListParagraph"/>
        <w:numPr>
          <w:ilvl w:val="0"/>
          <w:numId w:val="2"/>
        </w:numPr>
        <w:spacing w:after="70"/>
      </w:pPr>
      <w:r>
        <w:rPr>
          <w:rFonts w:ascii="Arial" w:cs="Arial" w:eastAsia="Arial" w:hAnsi="Arial"/>
          <w:b/>
          <w:bCs/>
          <w:color w:val="343740"/>
          <w:sz w:val="21"/>
          <w:szCs w:val="21"/>
        </w:rPr>
        <w:t xml:space="preserve">Salesforce two-way sync: </w:t>
      </w:r>
      <w:r>
        <w:rPr>
          <w:rFonts w:ascii="Arial" w:cs="Arial" w:eastAsia="Arial" w:hAnsi="Arial"/>
          <w:color w:val="343740"/>
          <w:sz w:val="21"/>
          <w:szCs w:val="21"/>
        </w:rPr>
        <w:t xml:space="preserve">Connected App + per-banker OAuth; Change Data Capture on Task and Lead; write-back of only the fields the banker changed, plus a Task per call outcome; queued and retried; last human to touch a field wins, per field. Bankers keep tagging once.</w:t>
      </w:r>
    </w:p>
    <w:p>
      <w:pPr>
        <w:pStyle w:val="ListParagraph"/>
        <w:numPr>
          <w:ilvl w:val="0"/>
          <w:numId w:val="2"/>
        </w:numPr>
        <w:spacing w:after="70"/>
      </w:pPr>
      <w:r>
        <w:rPr>
          <w:rFonts w:ascii="Arial" w:cs="Arial" w:eastAsia="Arial" w:hAnsi="Arial"/>
          <w:b/>
          <w:bCs/>
          <w:color w:val="343740"/>
          <w:sz w:val="21"/>
          <w:szCs w:val="21"/>
        </w:rPr>
        <w:t xml:space="preserve">Dialpad: </w:t>
      </w:r>
      <w:r>
        <w:rPr>
          <w:rFonts w:ascii="Arial" w:cs="Arial" w:eastAsia="Arial" w:hAnsi="Arial"/>
          <w:color w:val="343740"/>
          <w:sz w:val="21"/>
          <w:szCs w:val="21"/>
        </w:rPr>
        <w:t xml:space="preserve">call-state webhooks for pops on direct lines; SMS from the banker's own number with template tokens; real-time transcript for objection handling if the API streams it mid-call (a 30-minute test settles this), otherwise post-call notes and follow-up text. Phase 1 — the call card of pre-computed answers to standard objections — needs no transcript.</w:t>
      </w:r>
    </w:p>
    <w:p>
      <w:pPr>
        <w:pStyle w:val="ListParagraph"/>
        <w:numPr>
          <w:ilvl w:val="0"/>
          <w:numId w:val="2"/>
        </w:numPr>
        <w:spacing w:after="70"/>
      </w:pPr>
      <w:r>
        <w:rPr>
          <w:rFonts w:ascii="Arial" w:cs="Arial" w:eastAsia="Arial" w:hAnsi="Arial"/>
          <w:b/>
          <w:bCs/>
          <w:color w:val="343740"/>
          <w:sz w:val="21"/>
          <w:szCs w:val="21"/>
        </w:rPr>
        <w:t xml:space="preserve">Management aggregate metrics: </w:t>
      </w:r>
      <w:r>
        <w:rPr>
          <w:rFonts w:ascii="Arial" w:cs="Arial" w:eastAsia="Arial" w:hAnsi="Arial"/>
          <w:color w:val="343740"/>
          <w:sz w:val="21"/>
          <w:szCs w:val="21"/>
        </w:rPr>
        <w:t xml:space="preserve">pipeline counts by status, closed volume, average savings proposed per banker, on the dashboard; /api/snapshot already unifies the data for a future analytics/AI layer.</w:t>
      </w:r>
    </w:p>
    <w:p>
      <w:pPr>
        <w:pStyle w:val="ListParagraph"/>
        <w:numPr>
          <w:ilvl w:val="0"/>
          <w:numId w:val="2"/>
        </w:numPr>
        <w:spacing w:after="70"/>
      </w:pPr>
      <w:r>
        <w:rPr>
          <w:rFonts w:ascii="Arial" w:cs="Arial" w:eastAsia="Arial" w:hAnsi="Arial"/>
          <w:b/>
          <w:bCs/>
          <w:color w:val="343740"/>
          <w:sz w:val="21"/>
          <w:szCs w:val="21"/>
        </w:rPr>
        <w:t xml:space="preserve">Font embedding: </w:t>
      </w:r>
      <w:r>
        <w:rPr>
          <w:rFonts w:ascii="Arial" w:cs="Arial" w:eastAsia="Arial" w:hAnsi="Arial"/>
          <w:color w:val="343740"/>
          <w:sz w:val="21"/>
          <w:szCs w:val="21"/>
        </w:rPr>
        <w:t xml:space="preserve">the five NMC .woff files can be embedded for pixel-perfect rendering with no internet (~300 KB).</w:t>
      </w:r>
    </w:p>
    <w:p>
      <w:pPr>
        <w:pStyle w:val="Heading1"/>
        <w:spacing w:after="160" w:before="360"/>
      </w:pPr>
      <w:r>
        <w:rPr>
          <w:rFonts w:ascii="Georgia" w:cs="Georgia" w:eastAsia="Georgia" w:hAnsi="Georgia"/>
          <w:color w:val="A53222"/>
          <w:sz w:val="34"/>
          <w:szCs w:val="34"/>
        </w:rPr>
        <w:t xml:space="preserve">10. Decisions made,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Decision</w:t>
            </w:r>
          </w:p>
        </w:tc>
        <w:tc>
          <w:tcPr>
            <w:tcW w:type="dxa" w:w="60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Rationale</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Standalone HTML, local-first</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No install, no admin rights, works offline and without VPN; sharing is additive.</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Human rate desk, publish-and-poll</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Executable lender pricing can't and shouldn't be scraped; public surveys lag. Treasury as direction indicator only.</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One file per banker + merge on the shared drive</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Many bankers writing one file over SMB corrupts it.</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Counts-only call-block reports</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Team metrics without moving client data.</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Save mirror separate from local save</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Local never waits on the network; the mirror catches up and never silently loses a mid-flight change.</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Salesforce button instead of a webhook</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No automation, no internet exposure of the hub, banker stays in control; Salesforce never needs to reach the hub.</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Five9 events for the pop, Salesforce Task for the wrap-up</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Five9's Task is written after the call; only Five9 has the ring-time event.</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Benefits-only proposal</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Client-facing honesty; the banker still sees the full picture on Analysis.</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Effective rate = same-interest equivalent rate</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Defensible, verifiable framing for higher-rate consolidations.</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Branding locked</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Company-controlled look; bankers can't drift.</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Demo files derived from real files by a flag</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Demos never drift from production.</w:t>
            </w:r>
          </w:p>
        </w:tc>
      </w:tr>
      <w:tr>
        <w:tc>
          <w:tcPr>
            <w:tcW w:type="dxa" w:w="33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Pennymac AVM linked, not scraped</w:t>
            </w:r>
          </w:p>
        </w:tc>
        <w:tc>
          <w:tcPr>
            <w:tcW w:type="dxa" w:w="60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License terms and brittleness; use a licensed provider for automation.</w:t>
            </w:r>
          </w:p>
        </w:tc>
      </w:tr>
    </w:tbl>
    <w:p>
      <w:pPr>
        <w:pStyle w:val="Heading1"/>
        <w:spacing w:after="160" w:before="360"/>
      </w:pPr>
      <w:r>
        <w:rPr>
          <w:rFonts w:ascii="Georgia" w:cs="Georgia" w:eastAsia="Georgia" w:hAnsi="Georgia"/>
          <w:color w:val="A53222"/>
          <w:sz w:val="34"/>
          <w:szCs w:val="34"/>
        </w:rPr>
        <w:t xml:space="preserve">11. Open questions, by person</w:t>
      </w:r>
    </w:p>
    <w:p>
      <w:pPr>
        <w:pStyle w:val="Heading2"/>
        <w:spacing w:after="120" w:before="260"/>
      </w:pPr>
      <w:r>
        <w:rPr>
          <w:rFonts w:ascii="Georgia" w:cs="Georgia" w:eastAsia="Georgia" w:hAnsi="Georgia"/>
          <w:color w:val="343740"/>
          <w:sz w:val="26"/>
          <w:szCs w:val="26"/>
        </w:rPr>
        <w:t xml:space="preserve">For Abe (IT)</w:t>
      </w:r>
    </w:p>
    <w:p>
      <w:pPr>
        <w:pStyle w:val="ListParagraph"/>
        <w:numPr>
          <w:ilvl w:val="0"/>
          <w:numId w:val="3"/>
        </w:numPr>
        <w:spacing w:after="70"/>
      </w:pPr>
      <w:r>
        <w:rPr>
          <w:rFonts w:ascii="Arial" w:cs="Arial" w:eastAsia="Arial" w:hAnsi="Arial"/>
          <w:color w:val="343740"/>
          <w:sz w:val="21"/>
          <w:szCs w:val="21"/>
        </w:rPr>
        <w:t xml:space="preserve">Where does the hub live — on-prem always-on box, or a small cloud VM — and is it reachable from bankers' home networks (VPN) so the offline-then-catch-up story holds?</w:t>
      </w:r>
    </w:p>
    <w:p>
      <w:pPr>
        <w:pStyle w:val="ListParagraph"/>
        <w:numPr>
          <w:ilvl w:val="0"/>
          <w:numId w:val="3"/>
        </w:numPr>
        <w:spacing w:after="70"/>
      </w:pPr>
      <w:r>
        <w:rPr>
          <w:rFonts w:ascii="Arial" w:cs="Arial" w:eastAsia="Arial" w:hAnsi="Arial"/>
          <w:color w:val="343740"/>
          <w:sz w:val="21"/>
          <w:szCs w:val="21"/>
        </w:rPr>
        <w:t xml:space="preserve">HTTPS and auth in front of the hub, since it now holds save mirrors (client data) and, later, Salesforce tokens.</w:t>
      </w:r>
    </w:p>
    <w:p>
      <w:pPr>
        <w:pStyle w:val="ListParagraph"/>
        <w:numPr>
          <w:ilvl w:val="0"/>
          <w:numId w:val="3"/>
        </w:numPr>
        <w:spacing w:after="70"/>
      </w:pPr>
      <w:r>
        <w:rPr>
          <w:rFonts w:ascii="Arial" w:cs="Arial" w:eastAsia="Arial" w:hAnsi="Arial"/>
          <w:color w:val="343740"/>
          <w:sz w:val="21"/>
          <w:szCs w:val="21"/>
        </w:rPr>
        <w:t xml:space="preserve">Shared-drive mode needed for any site, or is everyone on the network/VPN?</w:t>
      </w:r>
    </w:p>
    <w:p>
      <w:pPr>
        <w:pStyle w:val="ListParagraph"/>
        <w:numPr>
          <w:ilvl w:val="0"/>
          <w:numId w:val="3"/>
        </w:numPr>
        <w:spacing w:after="70"/>
      </w:pPr>
      <w:r>
        <w:rPr>
          <w:rFonts w:ascii="Arial" w:cs="Arial" w:eastAsia="Arial" w:hAnsi="Arial"/>
          <w:color w:val="343740"/>
          <w:sz w:val="21"/>
          <w:szCs w:val="21"/>
        </w:rPr>
        <w:t xml:space="preserve">Distribution of the toolkit file and updates (email, drive, intranet link).</w:t>
      </w:r>
    </w:p>
    <w:p>
      <w:pPr>
        <w:pStyle w:val="ListParagraph"/>
        <w:numPr>
          <w:ilvl w:val="0"/>
          <w:numId w:val="3"/>
        </w:numPr>
        <w:spacing w:after="70"/>
      </w:pPr>
      <w:r>
        <w:rPr>
          <w:rFonts w:ascii="Arial" w:cs="Arial" w:eastAsia="Arial" w:hAnsi="Arial"/>
          <w:color w:val="343740"/>
          <w:sz w:val="21"/>
          <w:szCs w:val="21"/>
        </w:rPr>
        <w:t xml:space="preserve">Pricing API: does NMC have a pricing-engine endpoint (e.g., from the LOS or a PPE) that returns rates we could pull?</w:t>
      </w:r>
    </w:p>
    <w:p>
      <w:pPr>
        <w:pStyle w:val="ListParagraph"/>
        <w:numPr>
          <w:ilvl w:val="0"/>
          <w:numId w:val="3"/>
        </w:numPr>
        <w:spacing w:after="70"/>
      </w:pPr>
      <w:r>
        <w:rPr>
          <w:rFonts w:ascii="Arial" w:cs="Arial" w:eastAsia="Arial" w:hAnsi="Arial"/>
          <w:color w:val="343740"/>
          <w:sz w:val="21"/>
          <w:szCs w:val="21"/>
        </w:rPr>
        <w:t xml:space="preserve">AVM provider: which one, and who licenses it. Clear Capital is the same engine as Pennymac's page.</w:t>
      </w:r>
    </w:p>
    <w:p>
      <w:pPr>
        <w:pStyle w:val="ListParagraph"/>
        <w:numPr>
          <w:ilvl w:val="0"/>
          <w:numId w:val="3"/>
        </w:numPr>
        <w:spacing w:after="70"/>
      </w:pPr>
      <w:r>
        <w:rPr>
          <w:rFonts w:ascii="Arial" w:cs="Arial" w:eastAsia="Arial" w:hAnsi="Arial"/>
          <w:color w:val="343740"/>
          <w:sz w:val="21"/>
          <w:szCs w:val="21"/>
        </w:rPr>
        <w:t xml:space="preserve">Backups of the hub's data/ folder.</w:t>
      </w:r>
    </w:p>
    <w:p>
      <w:pPr>
        <w:pStyle w:val="Heading2"/>
        <w:spacing w:after="120" w:before="260"/>
      </w:pPr>
      <w:r>
        <w:rPr>
          <w:rFonts w:ascii="Georgia" w:cs="Georgia" w:eastAsia="Georgia" w:hAnsi="Georgia"/>
          <w:color w:val="343740"/>
          <w:sz w:val="26"/>
          <w:szCs w:val="26"/>
        </w:rPr>
        <w:t xml:space="preserve">For Ryan (developer)</w:t>
      </w:r>
    </w:p>
    <w:p>
      <w:pPr>
        <w:pStyle w:val="ListParagraph"/>
        <w:numPr>
          <w:ilvl w:val="0"/>
          <w:numId w:val="4"/>
        </w:numPr>
        <w:spacing w:after="70"/>
      </w:pPr>
      <w:r>
        <w:rPr>
          <w:rFonts w:ascii="Arial" w:cs="Arial" w:eastAsia="Arial" w:hAnsi="Arial"/>
          <w:color w:val="343740"/>
          <w:sz w:val="21"/>
          <w:szCs w:val="21"/>
        </w:rPr>
        <w:t xml:space="preserve">Salesforce Connected App and Change Data Capture in a sandbox; field API names for the mapping file; status vocabulary.</w:t>
      </w:r>
    </w:p>
    <w:p>
      <w:pPr>
        <w:pStyle w:val="ListParagraph"/>
        <w:numPr>
          <w:ilvl w:val="0"/>
          <w:numId w:val="4"/>
        </w:numPr>
        <w:spacing w:after="70"/>
      </w:pPr>
      <w:r>
        <w:rPr>
          <w:rFonts w:ascii="Arial" w:cs="Arial" w:eastAsia="Arial" w:hAnsi="Arial"/>
          <w:color w:val="343740"/>
          <w:sz w:val="21"/>
          <w:szCs w:val="21"/>
        </w:rPr>
        <w:t xml:space="preserve">Five9: is Workflow Automation enabled; which event carries the Salesforce record ID; disposition names to map.</w:t>
      </w:r>
    </w:p>
    <w:p>
      <w:pPr>
        <w:pStyle w:val="ListParagraph"/>
        <w:numPr>
          <w:ilvl w:val="0"/>
          <w:numId w:val="4"/>
        </w:numPr>
        <w:spacing w:after="70"/>
      </w:pPr>
      <w:r>
        <w:rPr>
          <w:rFonts w:ascii="Arial" w:cs="Arial" w:eastAsia="Arial" w:hAnsi="Arial"/>
          <w:color w:val="343740"/>
          <w:sz w:val="21"/>
          <w:szCs w:val="21"/>
        </w:rPr>
        <w:t xml:space="preserve">Dialpad: run the 30-minute transcript-timing test (webhook + call event subscription + poll the transcript endpoint mid-call).</w:t>
      </w:r>
    </w:p>
    <w:p>
      <w:pPr>
        <w:pStyle w:val="ListParagraph"/>
        <w:numPr>
          <w:ilvl w:val="0"/>
          <w:numId w:val="4"/>
        </w:numPr>
        <w:spacing w:after="70"/>
      </w:pPr>
      <w:r>
        <w:rPr>
          <w:rFonts w:ascii="Arial" w:cs="Arial" w:eastAsia="Arial" w:hAnsi="Arial"/>
          <w:color w:val="343740"/>
          <w:sz w:val="21"/>
          <w:szCs w:val="21"/>
        </w:rPr>
        <w:t xml:space="preserve">Preference on the event-stream client (CometD long-polling with no packages vs Pub/Sub gRPC).</w:t>
      </w:r>
    </w:p>
    <w:p>
      <w:pPr>
        <w:pStyle w:val="ListParagraph"/>
        <w:numPr>
          <w:ilvl w:val="0"/>
          <w:numId w:val="4"/>
        </w:numPr>
        <w:spacing w:after="70"/>
      </w:pPr>
      <w:r>
        <w:rPr>
          <w:rFonts w:ascii="Arial" w:cs="Arial" w:eastAsia="Arial" w:hAnsi="Arial"/>
          <w:color w:val="343740"/>
          <w:sz w:val="21"/>
          <w:szCs w:val="21"/>
        </w:rPr>
        <w:t xml:space="preserve">Where the 20-second inbox poll during a call block should live (toolkit timer, trivial).</w:t>
      </w:r>
    </w:p>
    <w:p>
      <w:pPr>
        <w:pStyle w:val="Heading2"/>
        <w:spacing w:after="120" w:before="260"/>
      </w:pPr>
      <w:r>
        <w:rPr>
          <w:rFonts w:ascii="Georgia" w:cs="Georgia" w:eastAsia="Georgia" w:hAnsi="Georgia"/>
          <w:color w:val="343740"/>
          <w:sz w:val="26"/>
          <w:szCs w:val="26"/>
        </w:rPr>
        <w:t xml:space="preserve">For Mike (business)</w:t>
      </w:r>
    </w:p>
    <w:p>
      <w:pPr>
        <w:pStyle w:val="ListParagraph"/>
        <w:numPr>
          <w:ilvl w:val="0"/>
          <w:numId w:val="5"/>
        </w:numPr>
        <w:spacing w:after="70"/>
      </w:pPr>
      <w:r>
        <w:rPr>
          <w:rFonts w:ascii="Arial" w:cs="Arial" w:eastAsia="Arial" w:hAnsi="Arial"/>
          <w:color w:val="343740"/>
          <w:sz w:val="21"/>
          <w:szCs w:val="21"/>
        </w:rPr>
        <w:t xml:space="preserve">Pilot group and timeline; success measures (folders, contact rate, proposal turnaround).</w:t>
      </w:r>
    </w:p>
    <w:p>
      <w:pPr>
        <w:pStyle w:val="ListParagraph"/>
        <w:numPr>
          <w:ilvl w:val="0"/>
          <w:numId w:val="5"/>
        </w:numPr>
        <w:spacing w:after="70"/>
      </w:pPr>
      <w:r>
        <w:rPr>
          <w:rFonts w:ascii="Arial" w:cs="Arial" w:eastAsia="Arial" w:hAnsi="Arial"/>
          <w:color w:val="343740"/>
          <w:sz w:val="21"/>
          <w:szCs w:val="21"/>
        </w:rPr>
        <w:t xml:space="preserve">Which metrics management wants aggregated first (status counts, closed volume, savings proposed, conversion by lead source).</w:t>
      </w:r>
    </w:p>
    <w:p>
      <w:pPr>
        <w:pStyle w:val="ListParagraph"/>
        <w:numPr>
          <w:ilvl w:val="0"/>
          <w:numId w:val="5"/>
        </w:numPr>
        <w:spacing w:after="70"/>
      </w:pPr>
      <w:r>
        <w:rPr>
          <w:rFonts w:ascii="Arial" w:cs="Arial" w:eastAsia="Arial" w:hAnsi="Arial"/>
          <w:color w:val="343740"/>
          <w:sz w:val="21"/>
          <w:szCs w:val="21"/>
        </w:rPr>
        <w:t xml:space="preserve">Confirm no-prepayment-penalty applies to every product NMC offers, and the FHA Streamline / VA IRRRL statements match current lender guidelines.</w:t>
      </w:r>
    </w:p>
    <w:p>
      <w:pPr>
        <w:pStyle w:val="ListParagraph"/>
        <w:numPr>
          <w:ilvl w:val="0"/>
          <w:numId w:val="5"/>
        </w:numPr>
        <w:spacing w:after="70"/>
      </w:pPr>
      <w:r>
        <w:rPr>
          <w:rFonts w:ascii="Arial" w:cs="Arial" w:eastAsia="Arial" w:hAnsi="Arial"/>
          <w:color w:val="343740"/>
          <w:sz w:val="21"/>
          <w:szCs w:val="21"/>
        </w:rPr>
        <w:t xml:space="preserve">Compliance review of the proposal template and disclaimer before client use.</w:t>
      </w:r>
    </w:p>
    <w:p>
      <w:pPr>
        <w:pStyle w:val="ListParagraph"/>
        <w:numPr>
          <w:ilvl w:val="0"/>
          <w:numId w:val="5"/>
        </w:numPr>
        <w:spacing w:after="70"/>
      </w:pPr>
      <w:r>
        <w:rPr>
          <w:rFonts w:ascii="Arial" w:cs="Arial" w:eastAsia="Arial" w:hAnsi="Arial"/>
          <w:color w:val="343740"/>
          <w:sz w:val="21"/>
          <w:szCs w:val="21"/>
        </w:rPr>
        <w:t xml:space="preserve">Recording/transcription consent policy for the Dialpad work.</w:t>
      </w:r>
    </w:p>
    <w:p>
      <w:pPr>
        <w:pStyle w:val="ListParagraph"/>
        <w:numPr>
          <w:ilvl w:val="0"/>
          <w:numId w:val="5"/>
        </w:numPr>
        <w:spacing w:after="70"/>
      </w:pPr>
      <w:r>
        <w:rPr>
          <w:rFonts w:ascii="Arial" w:cs="Arial" w:eastAsia="Arial" w:hAnsi="Arial"/>
          <w:color w:val="343740"/>
          <w:sz w:val="21"/>
          <w:szCs w:val="21"/>
        </w:rPr>
        <w:t xml:space="preserve">Who owns the rate desk day to day, and the cadence of publishes.</w:t>
      </w:r>
    </w:p>
    <w:p>
      <w:pPr>
        <w:pStyle w:val="Heading1"/>
        <w:spacing w:after="160" w:before="360"/>
      </w:pPr>
      <w:r>
        <w:rPr>
          <w:rFonts w:ascii="Georgia" w:cs="Georgia" w:eastAsia="Georgia" w:hAnsi="Georgia"/>
          <w:color w:val="A53222"/>
          <w:sz w:val="34"/>
          <w:szCs w:val="34"/>
        </w:rPr>
        <w:t xml:space="preserve">12. Roadmap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2100"/>
        <w:gridCol w:w="1500"/>
      </w:tblGrid>
      <w:tr>
        <w:trPr>
          <w:tblHeader/>
        </w:trPr>
        <w:tc>
          <w:tcPr>
            <w:tcW w:type="dxa" w:w="20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Phase</w:t>
            </w:r>
          </w:p>
        </w:tc>
        <w:tc>
          <w:tcPr>
            <w:tcW w:type="dxa" w:w="376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Scope</w:t>
            </w:r>
          </w:p>
        </w:tc>
        <w:tc>
          <w:tcPr>
            <w:tcW w:type="dxa" w:w="21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Depends on</w:t>
            </w:r>
          </w:p>
        </w:tc>
        <w:tc>
          <w:tcPr>
            <w:tcW w:type="dxa" w:w="1500"/>
            <w:tcBorders>
              <w:top w:val="single" w:color="E5DFD2" w:sz="4"/>
              <w:left w:val="none" w:color="FFFFFF" w:sz="0"/>
              <w:bottom w:val="single" w:color="E5DFD2" w:sz="4"/>
              <w:right w:val="none" w:color="FFFFFF" w:sz="0"/>
            </w:tcBorders>
            <w:shd w:fill="F7F1E6" w:val="clear"/>
            <w:tcMar>
              <w:top w:type="dxa" w:w="60"/>
              <w:left w:type="dxa" w:w="100"/>
              <w:bottom w:type="dxa" w:w="60"/>
              <w:right w:type="dxa" w:w="100"/>
            </w:tcMar>
          </w:tcPr>
          <w:p>
            <w:pPr>
              <w:spacing w:after="0"/>
            </w:pPr>
            <w:r>
              <w:rPr>
                <w:rFonts w:ascii="Arial" w:cs="Arial" w:eastAsia="Arial" w:hAnsi="Arial"/>
                <w:b/>
                <w:bCs/>
                <w:color w:val="343740"/>
                <w:sz w:val="19"/>
                <w:szCs w:val="19"/>
              </w:rPr>
              <w:t xml:space="preserve">Effort</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0 — Pilot (now)</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Deploy hub, 3–5 bankers, real Salesforce pastes, first proposals to clients</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Abe: hub box + address</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Days</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1 — Salesforce button</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Admin adds the URL button; NMC_IMPORT_KEY set</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Salesforce admin, 30 min</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Hours</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2 — AVM + pricing API</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License a provider; wire env vars</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Abe / vendor</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Hours once licensed</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3 — Five9 pop + call card</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Ring-time pop; pre-computed objection answers on the toolkit</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Five9 admin + Ryan</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2–3 days</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4 — Salesforce two-way</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OAuth, CDC listener, write-back queue, Tasks</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Ryan, sandbox</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~2 days build + 1 week sandbox</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5 — Management metrics</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Pipeline aggregates on the dashboard</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Mike's metric list</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1–2 days</w:t>
            </w:r>
          </w:p>
        </w:tc>
      </w:tr>
      <w:tr>
        <w:tc>
          <w:tcPr>
            <w:tcW w:type="dxa" w:w="20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6 — Dialpad</w:t>
            </w:r>
          </w:p>
        </w:tc>
        <w:tc>
          <w:tcPr>
            <w:tcW w:type="dxa" w:w="376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Pops on direct lines, SMS from banker numbers, real-time assist if the transcript streams</w:t>
            </w:r>
          </w:p>
        </w:tc>
        <w:tc>
          <w:tcPr>
            <w:tcW w:type="dxa" w:w="21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Dialpad API key, consent policy</w:t>
            </w:r>
          </w:p>
        </w:tc>
        <w:tc>
          <w:tcPr>
            <w:tcW w:type="dxa" w:w="1500"/>
            <w:tcBorders>
              <w:top w:val="single" w:color="E5DFD2" w:sz="4"/>
              <w:left w:val="none" w:color="FFFFFF" w:sz="0"/>
              <w:bottom w:val="single" w:color="E5DFD2" w:sz="4"/>
              <w:right w:val="none" w:color="FFFFFF" w:sz="0"/>
            </w:tcBorders>
            <w:tcMar>
              <w:top w:type="dxa" w:w="60"/>
              <w:left w:type="dxa" w:w="100"/>
              <w:bottom w:type="dxa" w:w="60"/>
              <w:right w:type="dxa" w:w="100"/>
            </w:tcMar>
          </w:tcPr>
          <w:p>
            <w:pPr>
              <w:spacing w:after="0"/>
            </w:pPr>
            <w:r>
              <w:rPr>
                <w:rFonts w:ascii="Arial" w:cs="Arial" w:eastAsia="Arial" w:hAnsi="Arial"/>
                <w:b w:val="false"/>
                <w:bCs w:val="false"/>
                <w:color w:val="343740"/>
                <w:sz w:val="19"/>
                <w:szCs w:val="19"/>
              </w:rPr>
              <w:t xml:space="preserve">3–5 days</w:t>
            </w:r>
          </w:p>
        </w:tc>
      </w:tr>
    </w:tbl>
    <w:p>
      <w:pPr>
        <w:pStyle w:val="Heading1"/>
        <w:spacing w:after="160" w:before="360"/>
      </w:pPr>
      <w:r>
        <w:rPr>
          <w:rFonts w:ascii="Georgia" w:cs="Georgia" w:eastAsia="Georgia" w:hAnsi="Georgia"/>
          <w:color w:val="A53222"/>
          <w:sz w:val="34"/>
          <w:szCs w:val="34"/>
        </w:rPr>
        <w:t xml:space="preserve">13. Risks and mitigations</w:t>
      </w:r>
    </w:p>
    <w:p>
      <w:pPr>
        <w:pStyle w:val="ListParagraph"/>
        <w:numPr>
          <w:ilvl w:val="0"/>
          <w:numId w:val="2"/>
        </w:numPr>
        <w:spacing w:after="70"/>
      </w:pPr>
      <w:r>
        <w:rPr>
          <w:rFonts w:ascii="Arial" w:cs="Arial" w:eastAsia="Arial" w:hAnsi="Arial"/>
          <w:b/>
          <w:bCs/>
          <w:color w:val="343740"/>
          <w:sz w:val="21"/>
          <w:szCs w:val="21"/>
        </w:rPr>
        <w:t xml:space="preserve">Parser drift: </w:t>
      </w:r>
      <w:r>
        <w:rPr>
          <w:rFonts w:ascii="Arial" w:cs="Arial" w:eastAsia="Arial" w:hAnsi="Arial"/>
          <w:color w:val="343740"/>
          <w:sz w:val="21"/>
          <w:szCs w:val="21"/>
        </w:rPr>
        <w:t xml:space="preserve">Salesforce layouts change → the label map is editable in Settings and the profile is one list in the file.</w:t>
      </w:r>
    </w:p>
    <w:p>
      <w:pPr>
        <w:pStyle w:val="ListParagraph"/>
        <w:numPr>
          <w:ilvl w:val="0"/>
          <w:numId w:val="2"/>
        </w:numPr>
        <w:spacing w:after="70"/>
      </w:pPr>
      <w:r>
        <w:rPr>
          <w:rFonts w:ascii="Arial" w:cs="Arial" w:eastAsia="Arial" w:hAnsi="Arial"/>
          <w:b/>
          <w:bCs/>
          <w:color w:val="343740"/>
          <w:sz w:val="21"/>
          <w:szCs w:val="21"/>
        </w:rPr>
        <w:t xml:space="preserve">Hub as a data store: </w:t>
      </w:r>
      <w:r>
        <w:rPr>
          <w:rFonts w:ascii="Arial" w:cs="Arial" w:eastAsia="Arial" w:hAnsi="Arial"/>
          <w:color w:val="343740"/>
          <w:sz w:val="21"/>
          <w:szCs w:val="21"/>
        </w:rPr>
        <w:t xml:space="preserve">save mirrors hold client data → LAN/VPN or HTTPS + auth, token-gated reads, backups.</w:t>
      </w:r>
    </w:p>
    <w:p>
      <w:pPr>
        <w:pStyle w:val="ListParagraph"/>
        <w:numPr>
          <w:ilvl w:val="0"/>
          <w:numId w:val="2"/>
        </w:numPr>
        <w:spacing w:after="70"/>
      </w:pPr>
      <w:r>
        <w:rPr>
          <w:rFonts w:ascii="Arial" w:cs="Arial" w:eastAsia="Arial" w:hAnsi="Arial"/>
          <w:b/>
          <w:bCs/>
          <w:color w:val="343740"/>
          <w:sz w:val="21"/>
          <w:szCs w:val="21"/>
        </w:rPr>
        <w:t xml:space="preserve">Rate desk discipline: </w:t>
      </w:r>
      <w:r>
        <w:rPr>
          <w:rFonts w:ascii="Arial" w:cs="Arial" w:eastAsia="Arial" w:hAnsi="Arial"/>
          <w:color w:val="343740"/>
          <w:sz w:val="21"/>
          <w:szCs w:val="21"/>
        </w:rPr>
        <w:t xml:space="preserve">stale rates mislead → Treasury card as the cue to publish; publish date shown everywhere.</w:t>
      </w:r>
    </w:p>
    <w:p>
      <w:pPr>
        <w:pStyle w:val="ListParagraph"/>
        <w:numPr>
          <w:ilvl w:val="0"/>
          <w:numId w:val="2"/>
        </w:numPr>
        <w:spacing w:after="70"/>
      </w:pPr>
      <w:r>
        <w:rPr>
          <w:rFonts w:ascii="Arial" w:cs="Arial" w:eastAsia="Arial" w:hAnsi="Arial"/>
          <w:b/>
          <w:bCs/>
          <w:color w:val="343740"/>
          <w:sz w:val="21"/>
          <w:szCs w:val="21"/>
        </w:rPr>
        <w:t xml:space="preserve">Estimates on proposals: </w:t>
      </w:r>
      <w:r>
        <w:rPr>
          <w:rFonts w:ascii="Arial" w:cs="Arial" w:eastAsia="Arial" w:hAnsi="Arial"/>
          <w:color w:val="343740"/>
          <w:sz w:val="21"/>
          <w:szCs w:val="21"/>
        </w:rPr>
        <w:t xml:space="preserve">rate provenance tag warns in red when the rate is a feed estimate; lender quotes replace it and a rate push never overwrites a quote.</w:t>
      </w:r>
    </w:p>
    <w:p>
      <w:pPr>
        <w:pStyle w:val="ListParagraph"/>
        <w:numPr>
          <w:ilvl w:val="0"/>
          <w:numId w:val="2"/>
        </w:numPr>
        <w:spacing w:after="70"/>
      </w:pPr>
      <w:r>
        <w:rPr>
          <w:rFonts w:ascii="Arial" w:cs="Arial" w:eastAsia="Arial" w:hAnsi="Arial"/>
          <w:b/>
          <w:bCs/>
          <w:color w:val="343740"/>
          <w:sz w:val="21"/>
          <w:szCs w:val="21"/>
        </w:rPr>
        <w:t xml:space="preserve">Browser support: </w:t>
      </w:r>
      <w:r>
        <w:rPr>
          <w:rFonts w:ascii="Arial" w:cs="Arial" w:eastAsia="Arial" w:hAnsi="Arial"/>
          <w:color w:val="343740"/>
          <w:sz w:val="21"/>
          <w:szCs w:val="21"/>
        </w:rPr>
        <w:t xml:space="preserve">folder autosave and clipboard read need Chrome/Edge; everything else works in any modern browser.</w:t>
      </w:r>
    </w:p>
    <w:p>
      <w:pPr>
        <w:pStyle w:val="ListParagraph"/>
        <w:numPr>
          <w:ilvl w:val="0"/>
          <w:numId w:val="2"/>
        </w:numPr>
        <w:spacing w:after="70"/>
      </w:pPr>
      <w:r>
        <w:rPr>
          <w:rFonts w:ascii="Arial" w:cs="Arial" w:eastAsia="Arial" w:hAnsi="Arial"/>
          <w:b/>
          <w:bCs/>
          <w:color w:val="343740"/>
          <w:sz w:val="21"/>
          <w:szCs w:val="21"/>
        </w:rPr>
        <w:t xml:space="preserve">Third-party terms: </w:t>
      </w:r>
      <w:r>
        <w:rPr>
          <w:rFonts w:ascii="Arial" w:cs="Arial" w:eastAsia="Arial" w:hAnsi="Arial"/>
          <w:color w:val="343740"/>
          <w:sz w:val="21"/>
          <w:szCs w:val="21"/>
        </w:rPr>
        <w:t xml:space="preserve">AVM and pricing must be licensed; nothing is scraped.</w:t>
      </w:r>
    </w:p>
    <w:p>
      <w:pPr>
        <w:pStyle w:val="Heading1"/>
        <w:spacing w:after="160" w:before="360"/>
      </w:pPr>
      <w:r>
        <w:rPr>
          <w:rFonts w:ascii="Georgia" w:cs="Georgia" w:eastAsia="Georgia" w:hAnsi="Georgia"/>
          <w:color w:val="A53222"/>
          <w:sz w:val="34"/>
          <w:szCs w:val="34"/>
        </w:rPr>
        <w:t xml:space="preserve">14. Suggested demo script (15 minutes)</w:t>
      </w:r>
    </w:p>
    <w:p>
      <w:pPr>
        <w:pStyle w:val="ListParagraph"/>
        <w:numPr>
          <w:ilvl w:val="0"/>
          <w:numId w:val="6"/>
        </w:numPr>
        <w:spacing w:after="70"/>
      </w:pPr>
      <w:r>
        <w:rPr>
          <w:rFonts w:ascii="Arial" w:cs="Arial" w:eastAsia="Arial" w:hAnsi="Arial"/>
          <w:color w:val="343740"/>
          <w:sz w:val="21"/>
          <w:szCs w:val="21"/>
        </w:rPr>
        <w:t xml:space="preserve">Open the demo toolkit. Pipeline: point out the alert bar, filters, and the rate-alert chip. Demo: drop rates 0.5% → Marcus goes hot.</w:t>
      </w:r>
    </w:p>
    <w:p>
      <w:pPr>
        <w:pStyle w:val="ListParagraph"/>
        <w:numPr>
          <w:ilvl w:val="0"/>
          <w:numId w:val="6"/>
        </w:numPr>
        <w:spacing w:after="70"/>
      </w:pPr>
      <w:r>
        <w:rPr>
          <w:rFonts w:ascii="Arial" w:cs="Arial" w:eastAsia="Arial" w:hAnsi="Arial"/>
          <w:color w:val="343740"/>
          <w:sz w:val="21"/>
          <w:szCs w:val="21"/>
        </w:rPr>
        <w:t xml:space="preserve">Client workspace: paste Jakob's Salesforce record → show the preview, the auto-split payment, the debts it created, and that SSN/DOB never appear.</w:t>
      </w:r>
    </w:p>
    <w:p>
      <w:pPr>
        <w:pStyle w:val="ListParagraph"/>
        <w:numPr>
          <w:ilvl w:val="0"/>
          <w:numId w:val="6"/>
        </w:numPr>
        <w:spacing w:after="70"/>
      </w:pPr>
      <w:r>
        <w:rPr>
          <w:rFonts w:ascii="Arial" w:cs="Arial" w:eastAsia="Arial" w:hAnsi="Arial"/>
          <w:color w:val="343740"/>
          <w:sz w:val="21"/>
          <w:szCs w:val="21"/>
        </w:rPr>
        <w:t xml:space="preserve">Analysis: consolidate the cards, pay what you pay now, read the effective rate. Switch program to FHA Streamline and watch skip/costs lock.</w:t>
      </w:r>
    </w:p>
    <w:p>
      <w:pPr>
        <w:pStyle w:val="ListParagraph"/>
        <w:numPr>
          <w:ilvl w:val="0"/>
          <w:numId w:val="6"/>
        </w:numPr>
        <w:spacing w:after="70"/>
      </w:pPr>
      <w:r>
        <w:rPr>
          <w:rFonts w:ascii="Arial" w:cs="Arial" w:eastAsia="Arial" w:hAnsi="Arial"/>
          <w:color w:val="343740"/>
          <w:sz w:val="21"/>
          <w:szCs w:val="21"/>
        </w:rPr>
        <w:t xml:space="preserve">Lender pricing → Compare: add two options, toggle Pay what they pay now, star one, write the why.</w:t>
      </w:r>
    </w:p>
    <w:p>
      <w:pPr>
        <w:pStyle w:val="ListParagraph"/>
        <w:numPr>
          <w:ilvl w:val="0"/>
          <w:numId w:val="6"/>
        </w:numPr>
        <w:spacing w:after="70"/>
      </w:pPr>
      <w:r>
        <w:rPr>
          <w:rFonts w:ascii="Arial" w:cs="Arial" w:eastAsia="Arial" w:hAnsi="Arial"/>
          <w:color w:val="343740"/>
          <w:sz w:val="21"/>
          <w:szCs w:val="21"/>
        </w:rPr>
        <w:t xml:space="preserve">Proposal: show it's benefits-only; include the comparison; Print → Save as PDF.</w:t>
      </w:r>
    </w:p>
    <w:p>
      <w:pPr>
        <w:pStyle w:val="ListParagraph"/>
        <w:numPr>
          <w:ilvl w:val="0"/>
          <w:numId w:val="6"/>
        </w:numPr>
        <w:spacing w:after="70"/>
      </w:pPr>
      <w:r>
        <w:rPr>
          <w:rFonts w:ascii="Arial" w:cs="Arial" w:eastAsia="Arial" w:hAnsi="Arial"/>
          <w:color w:val="343740"/>
          <w:sz w:val="21"/>
          <w:szCs w:val="21"/>
        </w:rPr>
        <w:t xml:space="preserve">Tools: the current-vs-new card and the “say it like this” sentence.</w:t>
      </w:r>
    </w:p>
    <w:p>
      <w:pPr>
        <w:pStyle w:val="ListParagraph"/>
        <w:numPr>
          <w:ilvl w:val="0"/>
          <w:numId w:val="6"/>
        </w:numPr>
        <w:spacing w:after="70"/>
      </w:pPr>
      <w:r>
        <w:rPr>
          <w:rFonts w:ascii="Arial" w:cs="Arial" w:eastAsia="Arial" w:hAnsi="Arial"/>
          <w:color w:val="343740"/>
          <w:sz w:val="21"/>
          <w:szCs w:val="21"/>
        </w:rPr>
        <w:t xml:space="preserve">Call blocks: start a block, log three calls, end it; My desk shows the team picture.</w:t>
      </w:r>
    </w:p>
    <w:p>
      <w:pPr>
        <w:pStyle w:val="ListParagraph"/>
        <w:numPr>
          <w:ilvl w:val="0"/>
          <w:numId w:val="6"/>
        </w:numPr>
        <w:spacing w:after="70"/>
      </w:pPr>
      <w:r>
        <w:rPr>
          <w:rFonts w:ascii="Arial" w:cs="Arial" w:eastAsia="Arial" w:hAnsi="Arial"/>
          <w:color w:val="343740"/>
          <w:sz w:val="21"/>
          <w:szCs w:val="21"/>
        </w:rPr>
        <w:t xml:space="preserve">Management demo console: dashboard with online dots, rate desk publish, template library, presence, mirrored saves.</w:t>
      </w:r>
    </w:p>
    <w:p>
      <w:pPr>
        <w:pStyle w:val="ListParagraph"/>
        <w:numPr>
          <w:ilvl w:val="0"/>
          <w:numId w:val="6"/>
        </w:numPr>
        <w:spacing w:after="70"/>
      </w:pPr>
      <w:r>
        <w:rPr>
          <w:rFonts w:ascii="Arial" w:cs="Arial" w:eastAsia="Arial" w:hAnsi="Arial"/>
          <w:color w:val="343740"/>
          <w:sz w:val="21"/>
          <w:szCs w:val="21"/>
        </w:rPr>
        <w:t xml:space="preserve">Close on the integration diagram: Salesforce button today; Five9 pop, two-way sync, Dialpad next; what each of Abe, Ryan, and Mike is being asked.</w:t>
      </w:r>
    </w:p>
    <w:p>
      <w:pPr>
        <w:pStyle w:val="Heading1"/>
        <w:spacing w:after="160" w:before="360"/>
      </w:pPr>
      <w:r>
        <w:rPr>
          <w:rFonts w:ascii="Georgia" w:cs="Georgia" w:eastAsia="Georgia" w:hAnsi="Georgia"/>
          <w:color w:val="A53222"/>
          <w:sz w:val="34"/>
          <w:szCs w:val="34"/>
        </w:rPr>
        <w:t xml:space="preserve">Appendix — file formats and tokens</w:t>
      </w:r>
    </w:p>
    <w:p>
      <w:pPr>
        <w:spacing w:after="120"/>
      </w:pPr>
      <w:r>
        <w:rPr>
          <w:rFonts w:ascii="Arial" w:cs="Arial" w:eastAsia="Arial" w:hAnsi="Arial"/>
          <w:b/>
          <w:bCs/>
          <w:color w:val="343740"/>
          <w:sz w:val="21"/>
          <w:szCs w:val="21"/>
        </w:rPr>
        <w:t xml:space="preserve">rates.json: </w:t>
      </w:r>
      <w:r>
        <w:rPr>
          <w:rFonts w:ascii="Arial" w:cs="Arial" w:eastAsia="Arial" w:hAnsi="Arial"/>
          <w:color w:val="343740"/>
          <w:sz w:val="21"/>
          <w:szCs w:val="21"/>
        </w:rPr>
        <w:t xml:space="preserve">{ "updated": "2026-09-16", "rates": { "Conventional": 6.125, "FHA": 5.875, "VA": 5.75 }, "treasury": {…} }</w:t>
      </w:r>
    </w:p>
    <w:p>
      <w:pPr>
        <w:spacing w:after="120"/>
      </w:pPr>
      <w:r>
        <w:rPr>
          <w:rFonts w:ascii="Arial" w:cs="Arial" w:eastAsia="Arial" w:hAnsi="Arial"/>
          <w:b/>
          <w:bCs/>
          <w:color w:val="343740"/>
          <w:sz w:val="21"/>
          <w:szCs w:val="21"/>
        </w:rPr>
        <w:t xml:space="preserve">Call-block CSV columns: </w:t>
      </w:r>
      <w:r>
        <w:rPr>
          <w:rFonts w:ascii="Arial" w:cs="Arial" w:eastAsia="Arial" w:hAnsi="Arial"/>
          <w:color w:val="343740"/>
          <w:sz w:val="21"/>
          <w:szCs w:val="21"/>
        </w:rPr>
        <w:t xml:space="preserve">banker, nmls, start, label, minutes, dials, contacts, interested, folders</w:t>
      </w:r>
    </w:p>
    <w:p>
      <w:pPr>
        <w:spacing w:after="120"/>
      </w:pPr>
      <w:r>
        <w:rPr>
          <w:rFonts w:ascii="Arial" w:cs="Arial" w:eastAsia="Arial" w:hAnsi="Arial"/>
          <w:b/>
          <w:bCs/>
          <w:color w:val="343740"/>
          <w:sz w:val="21"/>
          <w:szCs w:val="21"/>
        </w:rPr>
        <w:t xml:space="preserve">Template tokens: </w:t>
      </w:r>
      <w:r>
        <w:rPr>
          <w:rFonts w:ascii="Arial" w:cs="Arial" w:eastAsia="Arial" w:hAnsi="Arial"/>
          <w:color w:val="343740"/>
          <w:sz w:val="21"/>
          <w:szCs w:val="21"/>
        </w:rPr>
        <w:t xml:space="preserve">{client_first} {client} {banker} {banker_phone} {banker_email} {banker_nmls} {rate}</w:t>
      </w:r>
    </w:p>
    <w:p>
      <w:pPr>
        <w:spacing w:after="120"/>
      </w:pPr>
      <w:r>
        <w:rPr>
          <w:rFonts w:ascii="Arial" w:cs="Arial" w:eastAsia="Arial" w:hAnsi="Arial"/>
          <w:b/>
          <w:bCs/>
          <w:color w:val="343740"/>
          <w:sz w:val="21"/>
          <w:szCs w:val="21"/>
        </w:rPr>
        <w:t xml:space="preserve">Salesforce import keys: </w:t>
      </w:r>
      <w:r>
        <w:rPr>
          <w:rFonts w:ascii="Arial" w:cs="Arial" w:eastAsia="Arial" w:hAnsi="Arial"/>
          <w:color w:val="343740"/>
          <w:sz w:val="21"/>
          <w:szCs w:val="21"/>
        </w:rPr>
        <w:t xml:space="preserve">name, email, phone, balance, rate, paymentTotal, value, fico, servicer, leadSource, leadStatus, closeDate, monthsSince, ccBal, ccPay, ccCount, autoBal, autoPay, helBal, helPay, sfid</w:t>
      </w:r>
    </w:p>
    <w:p>
      <w:pPr>
        <w:spacing w:after="120"/>
      </w:pPr>
      <w:r>
        <w:rPr>
          <w:rFonts w:ascii="Arial" w:cs="Arial" w:eastAsia="Arial" w:hAnsi="Arial"/>
          <w:b/>
          <w:bCs/>
          <w:color w:val="343740"/>
          <w:sz w:val="21"/>
          <w:szCs w:val="21"/>
        </w:rPr>
        <w:t xml:space="preserve">Toolkit storage: </w:t>
      </w:r>
      <w:r>
        <w:rPr>
          <w:rFonts w:ascii="Arial" w:cs="Arial" w:eastAsia="Arial" w:hAnsi="Arial"/>
          <w:color w:val="343740"/>
          <w:sz w:val="21"/>
          <w:szCs w:val="21"/>
        </w:rPr>
        <w:t xml:space="preserve">browser localStorage key nmc_toolkit_v1 (demo: nmc_toolkit_demo_v1); optional folder files nmc-toolkit-&lt;name&gt;.json and call-blocks-&lt;name&gt;.csv; schema migrations are additive and never drop data.</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16E"/>
        <w:sz w:val="16"/>
        <w:szCs w:val="16"/>
      </w:rPr>
      <w:t xml:space="preserve">Page </w:t>
    </w:r>
    <w:r>
      <w:rPr>
        <w:rFonts w:ascii="Arial" w:cs="Arial" w:eastAsia="Arial" w:hAnsi="Arial"/>
        <w:color w:val="5C61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16E"/>
        <w:sz w:val="16"/>
        <w:szCs w:val="16"/>
      </w:rPr>
      <w:t xml:space="preserve">NMC Banker Toolkit — Deep-dive briefing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37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2026-09-21T13:41:56.640Z</dcterms:created>
  <dcterms:modified xsi:type="dcterms:W3CDTF">2026-09-21T13:41:56.651Z</dcterms:modified>
</cp:coreProperties>
</file>

<file path=docProps/custom.xml><?xml version="1.0" encoding="utf-8"?>
<Properties xmlns="http://schemas.openxmlformats.org/officeDocument/2006/custom-properties" xmlns:vt="http://schemas.openxmlformats.org/officeDocument/2006/docPropsVTypes"/>
</file>