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r/>
    </w:p>
    <w:p>
      <w:pPr>
        <w:pStyle w:val="Heading1"/>
      </w:pPr>
      <w:r>
        <w:t>1 用户、账号与基础资料</w:t>
      </w:r>
    </w:p>
    <w:p>
      <w:pPr>
        <w:pStyle w:val="ListBullet"/>
      </w:pPr>
      <w:r>
        <w:t>一个 User 只能拥有一个角色；角色关联权限。DRIVER 角色账号仅通过司机业务流程创建，系统用户页不得直接创建或分配 DRIVER。</w:t>
      </w:r>
    </w:p>
    <w:p>
      <w:pPr>
        <w:pStyle w:val="ListBullet"/>
      </w:pPr>
      <w:r>
        <w:t>Driver.driverType 是 INTERNAL 或 OUTSOURCED 的唯一权威，不能由客户端传入的类型、角色或有无绑定推断。后台创建司机时，由创建人填写不少于 6 位的初始密码，在同一事务中创建司机和安全哈希 DRIVER 账号；手机号已存在任何 User 时拒绝创建，不关联旧账号。密码不明文返回、不写日志或 Audit，重置走正式重置流程。司机姓名、手机号、司机类型、身份证号、驾驶证号均为必填。身份证号与驾驶证号分别录入、分别全局唯一；大陆18位身份证必须通过格式、出生日期和校验码检查。出生日期仅由合法身份证号派生，年龄按当前日期计算实际周岁，两者只读且年龄不持久化。驾驶证号只去除首尾空格，不附加号码格式限制。</w:t>
      </w:r>
      <w:r/>
    </w:p>
    <w:p>
      <w:pPr>
        <w:pStyle w:val="ListBullet"/>
      </w:pPr>
      <w:r>
        <w:t>INTERNAL 司机可按正式规则绑定公司车辆；公司车可绑定车挂。绑定、解绑保留时间、操作者和原因。运输中的公司车/司机/车挂快照受锁保护，不能通过变更绑定改写运输事实。</w:t>
      </w:r>
      <w:r>
        <w:t>公司车辆的行驶证号由车辆资料独立录入，必填、去除首尾空格且全局唯一；不得放入司机资料。</w:t>
      </w:r>
      <w:r>
        <w:t xml:space="preserve"> 停用公司车辆前必须确认该车及当前绑定车挂均无待发车或在途任务；允许停用时同一事务解除司机和车挂的当前绑定并保留解绑历史。停用车挂前必须确认其无待发车或在途任务；允许停用时同一事务解除与车辆的当前绑定并留史。停用的车辆或车挂不得建立新绑定。</w:t>
      </w:r>
    </w:p>
    <w:p>
      <w:pPr>
        <w:pStyle w:val="ListBullet"/>
      </w:pPr>
      <w:r>
        <w:t>自有司机和公司车辆初始导入仅接受系统固定十列模板：车牌号、驾驶员姓名、电话、行车证号、驾驶证号、身份证号、车辆保险状态(是否齐全)、最大载重（吨）、达标吨数（吨）、能源类型。导入固定 INTERNAL、自有公司车、FIXED 达标、三方启用及初始密码 123456（只存安全哈希）；只创建此前均未录入的司机、账号和车辆，并在同一事务中建立当前绑定及绑定历史。预览不写业务事实，全部行通过后确认时仍重验；任何错误整批拒绝并允许修正后重传，不设独立导入历史。</w:t>
      </w:r>
    </w:p>
    <w:p>
      <w:pPr>
        <w:pStyle w:val="ListBullet"/>
      </w:pPr>
      <w:r>
        <w:t>OUTSOURCED 不绑定、不查询、不创建公司 Vehicle；每次任务逐条填写真实外协车牌。其小程序只开放本人核心运输操作，不开放费用申请、换胎、工资或公司经营数据。</w:t>
      </w:r>
      <w:r>
        <w:t>管理端司机列表及详情中的外协司机当前公司车辆显示“不适用”，不提供绑定、换绑或解绑公司车入口，服务端同样拒绝。</w:t>
      </w:r>
    </w:p>
    <w:p>
      <w:pPr>
        <w:pStyle w:val="ListBullet"/>
      </w:pPr>
      <w:r>
        <w:t>Product 是唯一货物主数据；客户直接使用中文名称，无 Customer 主数据依赖。司机、车辆、车挂、货物的停用与历史关系不得破坏既有任务快照。 司机存在当前负责的 PUBLISHED、IN_TRANSIT 或 TRANSFER_PENDING 运输任务时不得禁用；调度草稿、已完成和已取消任务不阻断。禁用时解除当前车辆绑定并记录解绑历史，不改写既有任务事实；禁用后所有登录入口及既有令牌均不得继续执行司机业务，重新启用后仍须重新满足分配及绑定条件。</w:t>
      </w:r>
    </w:p>
    <w:p>
      <w:pPr>
        <w:pStyle w:val="Heading1"/>
      </w:pPr>
      <w:r>
        <w:t>2 线路模板与运输任务</w:t>
      </w:r>
    </w:p>
    <w:p>
      <w:pPr>
        <w:pStyle w:val="ListBullet"/>
      </w:pPr>
      <w:r>
        <w:t>RouteTemplate 为少量人工维护的线路业务模板，保存稳定编号、名称、中文客户名称、Product、装货地、卸货地、默认含税单价（元/吨）、默认信息费（元/趟）、默认司机趟次工资、启停与备注。模板无发车、卸货或完成状态；停用后不得生成新任务。模板修改不回写既有任务。</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UNPUBLISHED、PUBLISHED、IN_TRANSIT、TRANSFER_PENDING、COMPLETED、CANCELLED。调度批次发布形成 PUBLISHED；当前司机发车形成 IN_TRANSIT；转派形成 TRANSFER_PENDING；接手发车重新进入 IN_TRANSIT；当前司机卸货形成 COMPLETED。仅从未实际发车且未进入转派执行链的 UNPUBLISHED/PUBLISHED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审批模板业务类型保留 EXPENSE、GENERAL、TIRE_REPLACEMENT；当前业务仅允许新建 EXPENSE 与 TIRE_REPLACEMENT 模板。GENERAL 只用于已有历史或内部审批事实的读取，不提供新建模板 API 或业务发起页面。流程版本发布后不可原地改写；维护时不得新发起，有在途实例时不得修改其定义。实例冻结所用流程版本。指定步骤打回只能从后端返回的当前实例已实际经过且合法的前置步骤中选择稳定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 每个审批步骤必选审批角色，可选指定该角色下的一名审批人；未指定时角色内当前有效且有动作权限的用户均可处理，指定时仅该人员可处理。一人处理成功即完成节点。指定人员停用、移出角色或失去权限时节点继续待处理，不自动放开或改派。申请人可撤回未终态且尚未生效的申请，原实例、版本、动作与撤回事实留存；重新申请创建新实例并使用当时有效模板，已生效费用只能正式冲销。 新建模板的业务名称由服务端按业务类型自动生成：换胎为“换胎申请”，费用按当前有效正式费用大类名称生成；稳定业务编号也由服务端生成。同一业务类型与费用大类不得并存互相冲突的有效模板。 换胎申请由小程序持 BUTTON_MINI_TIRE_REQUEST_SUBMIT 权限的合格自有司机发起；换胎审批与其他审批统一使用 BUTTON_APPROVALS_TODO_APPROVE 通过、BUTTON_APPROVALS_TODO_RETURN 打回，不设轮胎专属审批权限。审批人仍须符合冻结流程节点角色及可选指定人员限制，管理员无绕过资格。</w:t>
      </w:r>
      <w:r/>
      <w:r/>
    </w:p>
    <w:p>
      <w:pPr>
        <w:pStyle w:val="ListBullet"/>
      </w:pPr>
      <w:r>
        <w:t>费用申请首先确定不可变 applicationScope：DAILY 或 TASK。DAILY 在同一申请中维护可编辑明细表，支持手工新增多条及导入系统固定 Excel 行后统一修改、删除；Excel 仅辅助填表，最终以提交时确认的明细为准；TASK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p>
    <w:p>
      <w:pPr>
        <w:pStyle w:val="ListBullet"/>
      </w:pPr>
      <w:r>
        <w:t>DAILY 一次申请限定同一费用大类，手工与 Excel 导入明细共同构成最终 N 条，创建一个审批实例；Excel 预览不创建审批或费用，最终提交时服务端逐条重验，任一明细错误阻止提交。整批通过或打回。批准时以审批实例+明细稳定键幂等生成恰好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 DAILY 费用 Excel 仅用于审批申请填表，TASK 费用只可单笔审批；不提供通用 EXPENSE 直接导入。当前只有充电公司专项可在人工确认并经服务端复核后直接生成 ExpenseEntry。未来其它第三方费用来源须另行确认正式业务规则，不因存在 Excel 或导入菜单自行开放。充电公司专项导入由管理员维护每家公司唯一当前字段映射，只从系统识别的 Excel 表头列位置选择订单号、车牌、充电时间和金额。前端解析第一工作表，只读预览全部有效订单、异常行、零元数及金额；空行后的订单不得遗漏，汇总行不得入账。操作人员确认前不保存原文件、不生成费用。服务端按原文件复核订单、来源、金额、去重与车辆，保存 ImportBatch、OriginalFile 和 SourceOrder；来源系统＋订单编号类型＋原始订单号唯一。正金额订单生成一条 ExpenseEntry，零元合法订单保留 SourceOrder 及文件行号、参与去重但不入账；金额为空、负数或不可解析阻止提交。有效订单数＝正常入账＋零元不入账＋已存在重复，异常另报。唯一匹配公司车、真实充电时间及实际发车/卸货参与事实时自动归任务；无匹配或多匹配保留未归属，不根据当前绑定、业务日、金额或司机姓名猜测。充电费用仍使用统一 ExpenseEntry 经营与月结口径。</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t>换胎申请仅由小程序按拍照、OCR、确认胎号、匹配库存、确认申请完成。保存原图、OCR 原始结果及人工确认值，已申领轮胎不可再次申领；审批在审批中心。附件按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服务端以唯一功能注册表执行“八域导航—页面—按钮操作”授权。页面权限只允许进入页面并读取必要业务数据，写入必须具备对应按钮操作权限；同一 API 可按安全数据范围关联多个页面或按钮，未注册的受保护 API 默认拒绝。身份、当前有效角色、本人和参与范围、审批节点资格、状态、并发、幂等、附件 Purpose 等业务强校验继续独立执行。权限定义与 API 功能映射在启动时加载，角色授权变更及账号、司机停用必须及时使会话或权限缓存失效，不得沿用撤销前授权。关键业务写入使用事务、数据库约束和 Audit；金额、重量使用 DECIMAL。</w:t>
      </w:r>
      <w:r>
        <w:t xml:space="preserve"> 登录会话仅在 MySQL 保存令牌摘要及用户、终端、签发、到期和撤销事实；管理端有效期 7 天，小程序有效期 30 天。正常重启可恢复未过期且未撤销的会话。角色授权提交后重载权限而不要求重新登录；停用账号、司机或角色以及修改、重置密码时必须撤销相关会话。</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