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车队经营管理系统功能与实体关系设计</w:t>
      </w:r>
    </w:p>
    <w:p>
      <w:r>
        <w:t>本设计把线路模板、实际运输任务与执行参与人分开建模。页面与持久化关系以任务事实为中心；审批、费用、工资、附件和月结各自保存可追溯的业务来源，不能用当前主数据覆盖历史。</w:t>
      </w:r>
    </w:p>
    <w:p>
      <w:pPr>
        <w:pStyle w:val="Heading1"/>
      </w:pPr>
      <w:r>
        <w:t>1 业务域与用户路径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业务域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核心职责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主要实体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身份与车队资料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单角色账号、司机类型、公司车/车挂和绑定历史、货物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User、Role、Permission、Driver、Vehicle、Trailer、Product、BindingHistory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运输调度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模板、待发布行、原子发布、任务导入、参与与状态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RouteTemplate、DispatchBatch、TransportTask、TransportParticipant、TaskStatusHistory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运输证据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发车快照、原始磅单、重量版本与纠错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TaskWeightVersion、TaskUnloadEvidence、FileAttachment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审批与费用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冻结流程、提交版本、费用申请明细、批准落账、当前归属和冲销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ApprovalTemplate、FlowVersion、ApprovalInstance、ApprovalExpenseItem、ExpenseEntry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工资与出勤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参与工资、调整历史、实际发车日出勤和调度台账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TransportParticipant、ParticipantSalaryHistory、DepartureEvent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轮胎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四字段入库、库存维护、OCR、换胎与审批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Tire、TireHistory、OcrRecord、TireRequest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经营与结算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任务/模板/公司经营、不可变月结版本与差异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SettlementMonth、SettlementVersion、SettlementDetail、SettlementDiff</w:t>
            </w:r>
          </w:p>
        </w:tc>
      </w:tr>
    </w:tbl>
    <w:p/>
    <w:p>
      <w:r>
        <w:t>管理人员从调度工作台生成任务、批量核对并发布；司机从小程序查看本人当前任务、发车、上传磅单并卸货；转派时管理人员追加参与记录并核定全员工资，接手司机重新发车。费用经相应审批产生账项，授权人员可在保留原申请属性的前提下调整当前任务归属。经营实时计算，月结冻结生成时事实。</w:t>
      </w:r>
    </w:p>
    <w:p>
      <w:pPr>
        <w:pStyle w:val="Heading1"/>
      </w:pPr>
      <w:r>
        <w:t>2 基础资料与绑定</w:t>
      </w:r>
    </w:p>
    <w:p>
      <w:r>
        <w:t>User N:1 Role，Role N:M Permission。Driver 可关联一个合法 DRIVER User；Driver.driverType 为 INTERNAL/OUTSOURCED 的唯一类型来源。创建 Driver 时以后台填写的初始密码在同一事务中创建安全哈希 DRIVER User；手机号已存在任何 User 时拒绝创建，系统用户维护不能绕过此流程分配 DRIVER。</w:t>
      </w:r>
      <w:r>
        <w:t>Driver 的身份证号与驾驶证号是两个独立必填且唯一的业务事实；出生日期从已校验的身份证号派生，年龄由出生日期和当前日期计算，不独立存储。</w:t>
      </w:r>
      <w:r>
        <w:t xml:space="preserve"> 登录会话是独立的 MySQL AuthSession，关联 User，仅保存 Token 摘要、WEB/MINI 终端、签发时间、到期时间和撤销时间，不保存 Token 明文。角色授权版本用于使所有终端的权限快照在授权事务提交后失效；普通资料修改不撤销会话。</w:t>
      </w:r>
    </w:p>
    <w:p>
      <w:r>
        <w:t>INTERNAL Driver 与 Vehicle 的当前绑定及历史分别建模；Vehicle 与 Trailer 同理。历史记录有效起止时间、操作者及原因。Vehicle 保存公司车牌、状态、保险/准运资格、能源类型、限载与达标规则。运输发车快照与绑定历史独立，即使以后解绑也保持原值。OUTSOURCED 没有公司车 FK 或绑定，车牌是参与任务的文本业务快照。Product 是货物主数据；客户只在模板和任务中存中文名称。Vehicle 独立保存必填且唯一的行驶证号，与 Driver 驾驶证号无关联；外协司机没有公司车绑定，列表及详情显示“不适用”。 Driver 停用与任务发布/转派共用司机行锁；只计算其当前有效参与责任的未完成任务，不以历史参与或当前车辆绑定推断。认证在登录及已签发令牌使用时重验司机有效性。</w:t>
      </w:r>
    </w:p>
    <w:p>
      <w:pPr>
        <w:pStyle w:val="Heading1"/>
      </w:pPr>
      <w:r>
        <w:t>3 线路模板、任务、参与人</w:t>
      </w:r>
    </w:p>
    <w:p>
      <w:r>
        <w:t>RouteTemplate 1:N TransportTask。模板以 stableCode 唯一，含名称、中文客户、Product、起讫地和三项默认金额；启停仅影响未来生成。TransportTask 含唯一 taskNo、业务日、模板 ID、模板名称/客户/货物/起讫地快照、实际单价/信息费、状态、当前参与人、有效重量版本和审计版本。实际金额变化进入 TaskAmountHistory；模板修改不触及旧任务。</w:t>
      </w:r>
    </w:p>
    <w:p>
      <w:r>
        <w:t>TransportTask 1:N TransportParticipant，以 taskId+sequence 唯一，最多一个 current。Participant 记录 INITIAL/TRANSFER、司机及类型快照、公司车/挂或外协车牌、指派/实际发车/结束时间、结束原因、核定工资及版本。工资变化进入 ParticipantSalaryHistory，0.00 可作为正式工资，同金额不记变化。未发车任务取消后其初始参与人不计有效工资或公司车费用资格，历史仍保留；正式转派参与即使未实际发车，工资和 INTERNAL 公司车费用资格仍有效。</w:t>
      </w:r>
    </w:p>
    <w:p>
      <w:r>
        <w:t>DispatchBatch 1:N DispatchBatchRow；一次确认在事务中校验并发布全部行，任何一行失败则无任务生成。幂等键唯一。固定任务 Excel 是另一生成路径，ImportTask 1:N ImportRow 保存预览、正式校验与逐行结果；两条路径共享司机/车辆/金额/状态强校验，但导入可逐行记录失败，不能把调度批次改为部分发布。</w:t>
      </w:r>
    </w:p>
    <w:p>
      <w:pPr>
        <w:pStyle w:val="Heading1"/>
      </w:pPr>
      <w:r>
        <w:t>4 状态、发车与证据关系</w:t>
      </w:r>
    </w:p>
    <w:p>
      <w:r>
        <w:t>任务正常链为 UNPUBLISHED→PUBLISHED→IN_TRANSIT→COMPLETED。转派使执行中任务进入 TRANSFER_PENDING，只有新 current Participant 实际发车才能回 IN_TRANSIT；最后 current Participant 才可卸货。从未实际发车且未进入转派执行链的 UNPUBLISHED/PUBLISHED 任务可取消至 CANCELLED；取消是终态，保留原因与历史。实际发车后和转派执行链中均不可取消，COMPLETED 永久保留运输事实。状态历史和 Audit 不删除。</w:t>
      </w:r>
    </w:p>
    <w:p>
      <w:r>
        <w:t>每次实际发车都属于一个 Participant，冻结司机、公司车/挂或外协车牌，并形成独立 DepartureEvent。调度月账对事件计数；INTERNAL 出勤对发车自然日去重。仅存任务最后发车时间不足以表达转派后的两次发车。</w:t>
      </w:r>
    </w:p>
    <w:p>
      <w:r>
        <w:t>TransportTask 1:N TaskWeightVersion，V1 是司机原始卸货重量；V2 及以后是授权纠错。毛重&gt;皮重，净重由系统计算，重量及金额用 DECIMAL。TaskUnloadEvidence 绑定 V1 正式磅单，至少一张；后续纠错证据关联相应版本，Purpose 与原始磅单不同。纠错必须有原因，操作人和时间保留；任何版本都不得修改 V1 图片。INTERNAL 达标适用真/假，OUTSOURCED 为不适用。</w:t>
      </w:r>
    </w:p>
    <w:p>
      <w:pPr>
        <w:pStyle w:val="Heading1"/>
      </w:pPr>
      <w:r>
        <w:t>5 审批、费用与经营归属</w:t>
      </w:r>
    </w:p>
    <w:p>
      <w:r>
        <w:t>ApprovalTemplate 的 businessType 保留 EXPENSE、GENERAL、TIRE_REPLACEMENT；新建仅允许 EXPENSE 与 TIRE_REPLACEMENT，GENERAL 模板、版本和实例保留历史读取；模板 1:N FlowVersion，发布版本不可原地修改。ApprovalInstance 指向冻结 FlowVersion，含 N 个 SubmissionVersion、Task/Action 历史。ApprovalAction 打回时记录合法目标 FlowNode 的稳定 ID、名称、操作人和时间；候选来自该实例真正走过且允许返回的前置步骤，重走目标及后续步骤。</w:t>
      </w:r>
    </w:p>
    <w:p>
      <w:r>
        <w:t>EXPENSE 申请先固定 applicationScope=DAILY/TASK。TASK 仅单项且选司机后选择其参与任务；DAILY 可手工新增多项，固定 Excel 仅将行加入同一可编辑草稿；可统一修改、删除，最终 N 项提交为一个 ApprovalInstance。ApprovalExpenseItem 以实例+itemNo 唯一，记录类型、日期、公司车、司机、明细、正金额及可选票据、发票、备注和站点。批准后每 Item 幂等生成一条 ExpenseEntry；GENERAL 不产生费用，TIRE_REPLACEMENT 走轮胎库存占用/消耗链。</w:t>
      </w:r>
    </w:p>
    <w:p>
      <w:r>
        <w:t>ExpenseEntry 同时保存不可变 applicationScope 与可变 currentTaskId。TASK 批准即归属目标；DAILY 批准先属于公司层，授权可后绑任务，原属性不变。ExpenseAttributionHistory 逐次记录前后任务、原因、操作人、时间；ExpenseReversalLink 连接冲销与原费用，原批准金额不得就地修改。绑定时费用公司车必须匹配目标任务至少一条正式 INTERNAL Participant 的公司车，否则硬拒绝。外协车牌不是公司费用资格。</w:t>
      </w:r>
    </w:p>
    <w:p>
      <w:pPr/>
      <w:r>
        <w:t>ChargingCompany 保存每家公司唯一当前四字段映射及表头列位置；ImportBatch 保存来源系统、原始文件名/哈希/存储键、映射快照、操作人、确认/入账/零元/重复数量和金额；SourceOrder 逐笔保存来源系统＋订单编号类型＋原始订单号、工作表/原始行号、车牌、真实充电时间、金额及可空的 ExpenseEntry 引用。零元订单金额为 0 且 ExpenseEntry 引用为空，仍保留原始文件追溯和正式去重。正金额订单只经统一 ExpenseEntry 入账；自动任务归属写入统一 ExpenseAttributionHistory。</w:t>
      </w:r>
    </w:p>
    <w:p>
      <w:r>
        <w:t>COMPLETED 任务收入＝最终净重×实际含税单价；支出＝实际信息费＋有效 Participant 工资＋当前归属有效费用的正负净额。公司总利润以全部 COMPLETED 任务收入扣除全部正式有效公司费用净额、COMPLETED 任务有效工资及实际信息费；公司费用包含未归属 DAILY 和 CANCELLED 任务已经真实发生的费用。取消的未发车任务无运输收入、工资和信息费经营额；绑定只改变任务分布。COMPLETED 的金额、工资、重量与费用纠错直接影响当前经营，任务本身不作废。RouteTemplate 经营聚合所属 COMPLETED 任务；SettlementVersion 保存生成时的任务、重量、工资、信息费、费用等快照，旧版不变，新版以 SettlementDiff 解释具体事实差额。</w:t>
      </w:r>
    </w:p>
    <w:p>
      <w:pPr>
        <w:pStyle w:val="Heading1"/>
      </w:pPr>
      <w:r>
        <w:t>6 轮胎、附件、通知与审计</w:t>
      </w:r>
    </w:p>
    <w:p>
      <w:r>
        <w:t>Tire 以胎号唯一，固定四列入库后 AVAILABLE；TireHistory 保存有权限的人工修改。TireRequest 与 OcrRecord、原始图片及用户确认胎号关联；已申领胎号禁止再次申请。Web 只管库存/入库/维护，小程序发起换胎，审批在审批中心。FileAttachment 以 ownerType/ownerId/purpose 授权，附件生命周期与业务提交状态一致。AuditLog 记录高风险动作；InAppNotification 为事务提交后辅助提醒，不作为业务事实或权限来源。</w:t>
      </w:r>
    </w:p>
    <w:p>
      <w:pPr>
        <w:pStyle w:val="Heading1"/>
      </w:pPr>
      <w:r>
        <w:t>7 查询边界与不变量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父实体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子实体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基数与删除边界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Role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User；RolePermission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一角色可供多用户使用，用户恰一角色；角色被使用时不可物理删除。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Driver/Vehicle/Trailer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当前绑定与绑定历史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当前关系至多一对一，历史一对多；历史禁止级联删除。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RouteTemplate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TransportTask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一模板多任务，任务恰一模板；模板停用不删或改任务快照。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DispatchBatch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DispatchBatchRow、TransportTask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一批多行；确认成功每行一任务，失败无正式任务。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TransportTask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TransportParticipant、WeightVersion、StatusHistory、AmountHistory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一任务多有序参与、多重量版本与历史；任务正式事实不级联删除。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TransportParticipant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DepartureEvent、ParticipantSalaryHistory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每次实际发车有事件；工资变化为追加历史。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ApprovalTemplate/FlowVersion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ApprovalInstance、ApprovalTask、ApprovalAction</w:t>
            </w:r>
          </w:p>
        </w:tc>
        <w:tc>
          <w:tcPr>
            <w:tcW w:type="dxa" w:w="3267"/>
            <w:vAlign w:val="center"/>
          </w:tcPr>
          <w:p>
            <w:r>
              <w:t>一实例冻结一流程版本；步骤 ID 与实例绑定，不随模板编辑变化。 冻结节点保存必选角色与可选指定人；每提交版本每节点只有一条共享待办，实际处理人记录于 ApprovalAction。申请人撤回保留原实例并终止待办，新申请另建实例。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ApprovalInstance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ApprovalExpenseItem、ExpenseEntry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一实例可含 N 项，批准时每项至多一正式费用；通用审批无费用项。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ExpenseEntry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ExpenseAttributionHistory、ExpenseReversalLink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一费用多归属历史，冲销以正负事实链接，不覆盖原金额。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SettlementMonth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SettlementVersion、SettlementDetail、SettlementDiff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一月多只读版本，生成后任何旧版事实和金额不可变。</w:t>
            </w:r>
          </w:p>
        </w:tc>
      </w:tr>
      <w:tr>
        <w:tc>
          <w:tcPr>
            <w:tcW w:type="dxa" w:w="3267"/>
          </w:tcPr>
          <w:p>
            <w:r>
              <w:t>ChargingCompany</w:t>
            </w:r>
          </w:p>
        </w:tc>
        <w:tc>
          <w:tcPr>
            <w:tcW w:type="dxa" w:w="3267"/>
          </w:tcPr>
          <w:p>
            <w:r>
              <w:t>ImportBatch</w:t>
            </w:r>
          </w:p>
        </w:tc>
        <w:tc>
          <w:tcPr>
            <w:tcW w:type="dxa" w:w="3267"/>
          </w:tcPr>
          <w:p>
            <w:r>
              <w:t>1:N；公司只保留当前生效的表头及四字段映射，批次冻结当时映射。</w:t>
            </w:r>
          </w:p>
        </w:tc>
      </w:tr>
      <w:tr>
        <w:tc>
          <w:tcPr>
            <w:tcW w:type="dxa" w:w="3267"/>
          </w:tcPr>
          <w:p>
            <w:r>
              <w:t>ImportBatch</w:t>
            </w:r>
          </w:p>
        </w:tc>
        <w:tc>
          <w:tcPr>
            <w:tcW w:type="dxa" w:w="3267"/>
          </w:tcPr>
          <w:p>
            <w:r>
              <w:t>SourceOrder</w:t>
            </w:r>
          </w:p>
        </w:tc>
        <w:tc>
          <w:tcPr>
            <w:tcW w:type="dxa" w:w="3267"/>
          </w:tcPr>
          <w:p>
            <w:r>
              <w:t>1:N；每条订单保留原始文件/工作表/行号；重复订单不新增来源事实。</w:t>
            </w:r>
          </w:p>
        </w:tc>
      </w:tr>
      <w:tr>
        <w:tc>
          <w:tcPr>
            <w:tcW w:type="dxa" w:w="3267"/>
          </w:tcPr>
          <w:p>
            <w:r>
              <w:t>SourceOrder</w:t>
            </w:r>
          </w:p>
        </w:tc>
        <w:tc>
          <w:tcPr>
            <w:tcW w:type="dxa" w:w="3267"/>
          </w:tcPr>
          <w:p>
            <w:r>
              <w:t>ExpenseEntry</w:t>
            </w:r>
          </w:p>
        </w:tc>
        <w:tc>
          <w:tcPr>
            <w:tcW w:type="dxa" w:w="3267"/>
          </w:tcPr>
          <w:p>
            <w:r>
              <w:t>0..1:1；零元订单不产生费用，正金额订单恰好一笔正式费用。</w:t>
            </w:r>
          </w:p>
        </w:tc>
      </w:tr>
    </w:tbl>
    <w:p/>
    <w:p>
      <w:pPr>
        <w:pStyle w:val="ListBullet"/>
      </w:pPr>
      <w:r>
        <w:t>任务号、模板 stableCode、胎号、导入业务行键、审批实例+明细号及调度幂等键有数据库唯一保护。</w:t>
      </w:r>
    </w:p>
    <w:p>
      <w:pPr>
        <w:pStyle w:val="ListBullet"/>
      </w:pPr>
      <w:r>
        <w:t>一个任务最多一个当前 Participant；历史参与、原始磅单、重量版本、审批提交/动作、费用归属/冲销和月结版本不可物理破坏。</w:t>
      </w:r>
    </w:p>
    <w:p>
      <w:pPr>
        <w:pStyle w:val="ListBullet"/>
      </w:pPr>
      <w:r>
        <w:t>金额调整、参与工资、费用归属、审批打回及状态转移均有原因、操作者、时间和并发控制；附件按 Purpose 分隔原始与纠错。</w:t>
      </w:r>
    </w:p>
    <w:p>
      <w:pPr>
        <w:pStyle w:val="ListBullet"/>
      </w:pPr>
      <w:r>
        <w:t>司机端只查询本人参与的任务，司机 DTO 不返回价格、毛利、任何参与工资、收入、支出和结算字段；有本人薪资页面权限者另行查看本人薪资。外协司机不得获取内部费用、轮胎、工资和经营资料。系统以唯一功能注册表关联页面、按钮和 API，多页面共用只读 API 时仍须保持各页面的数据范围；完整司机证件等敏感资料只能通过司机管理的数据边界获取。审批节点资格、附件 Purpose 与审计校验不因页面或按钮授权而省略。</w:t>
      </w:r>
    </w:p>
    <w:p>
      <w:pPr>
        <w:pStyle w:val="ListBullet"/>
      </w:pPr>
      <w:r>
        <w:t>31 日月账使用服务端聚合与分页，任务档案批查参与和费用，不做 N+1；索引围绕业务日、状态、模板、司机/车辆发车时间、费用属性与当前归属、审批待办和月结月份设计。</w:t>
      </w:r>
    </w:p>
    <w:sectPr w:rsidR="00FC693F" w:rsidRPr="0006063C" w:rsidSect="00034616">
      <w:pgSz w:w="12240" w:h="15840"/>
      <w:pgMar w:top="1134" w:right="1219" w:bottom="1077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7" w:lineRule="auto"/>
    </w:pPr>
    <w:rPr>
      <w:rFonts w:ascii="Microsoft YaHei" w:hAnsi="Microsoft YaHei" w:eastAsia="Microsoft YaHei"/>
      <w:b w:val="0"/>
      <w:color w:val="1A2A2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2A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2A2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A2A2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Microsoft YaHei" w:hAnsi="Microsoft YaHei" w:eastAsia="Microsoft YaHei"/>
      <w:b w:val="0"/>
      <w:color w:val="1A2A2F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