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  <w:r>
        <w:t xml:space="preserve"> POST /auth/login 接受 WEB 或 MINI 终端类型，缺省 WEB，分别签发 7 天或 30 天会话；POST /auth/logout 撤销当前会话。GET /me 返回最新角色授权。会话缓存未命中时从 MySQL 安全恢复并重新校验用户、角色、司机状态与最新权限；过期、撤销或数据库不可用时拒绝。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新密码至少 6 位；旧密码错误明确提示“原密码错误”；重置留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/drivers、GET/PUT /drivers/{id}</w:t>
            </w:r>
          </w:p>
        </w:tc>
        <w:tc>
          <w:tcPr>
            <w:tcW w:type="dxa" w:w="3267"/>
            <w:vAlign w:val="center"/>
          </w:tcPr>
          <w:p>
            <w:r>
              <w:t>请求必填 name、phone、driverType、idCardNo、drivingLicenseNo、status；新增司机时必须带 initialPassword；手机号已有账号则拒绝。响应包含只读 birthDate、age 和当前车辆摘要。</w:t>
            </w:r>
          </w:p>
        </w:tc>
        <w:tc>
          <w:tcPr>
            <w:tcW w:type="dxa" w:w="3267"/>
            <w:vAlign w:val="center"/>
          </w:tcPr>
          <w:p>
            <w:r>
              <w:t>BUTTON_DRIVERS_ADD / BUTTON_DRIVERS_EDIT 分权；身份证18位格式、真实日期、校验码和证件号唯一性服务端重验；驾驶证去首尾空格且唯一；外协不可绑定公司车。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GET/POST/PUT /vehicles/{id}；GET/POST/PUT /trailers/{id}；GET/POST/PUT /products/{id}</w:t>
            </w:r>
          </w:p>
        </w:tc>
        <w:tc>
          <w:tcPr>
            <w:tcW w:type="dxa" w:w="3267"/>
            <w:vAlign w:val="center"/>
          </w:tcPr>
          <w:p>
            <w:r>
              <w:t>车辆请求必填 vehicleLicenseNo（行驶证号），与车牌、保险、限载、达标配置分别维护；列表和详情回传行驶证号。</w:t>
            </w:r>
          </w:p>
        </w:tc>
        <w:tc>
          <w:tcPr>
            <w:tcW w:type="dxa" w:w="3267"/>
            <w:vAlign w:val="center"/>
          </w:tcPr>
          <w:p>
            <w:r>
              <w:t>BUTTON_VEHICLES_ADD / BUTTON_VEHICLES_EDIT 分权；行驶证号首尾空格去除且全局唯一；车辆状态、限载与达标规则服务端校验。 货物列表独立使用 PAGE_PRODUCTS，新增、编辑及启停使用 BUTTON_PRODUCTS_MANAGE；线路模板维护为选择货物可读取货物列表，但不能据此进入货物管理或修改货物。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 调度工作台通过 PAGE_DISPATCH 读取有效线路模板与 GET /dispatch-batches/driver-options 分页司机候选；候选只含派车所需姓名、手机号、类型、当前车牌及状态，不返回身份证号或驾驶证号。完整 GET /drivers 仍需 PAGE_DRIVERS。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/task-imports/{id}/confirm、GET /task-imports/{id}/rows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PAGE_MINI_SALARY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r>
              <w:t>服务端生成 stableCode、businessType、发起角色、流程步骤名称、必选 approverRoleId、可选 approverUserId、allowReturn 及版本</w:t>
            </w:r>
          </w:p>
        </w:tc>
        <w:tc>
          <w:tcPr>
            <w:tcW w:type="dxa" w:w="3267"/>
            <w:vAlign w:val="center"/>
          </w:tcPr>
          <w:p>
            <w:r>
              <w:t>新建仅允许费用申请与换胎申请；GENERAL 保留历史读取且新建 API 拒绝；指定人必须为所选角色有效用户；发布后版本冻结，在途约束由后端校验。 换胎发起使用 BUTTON_MINI_TIRE_REQUEST_SUBMIT；待办、详情、附件和审批动作均复用统一审批实例及节点资格，通过使用 BUTTON_APPROVALS_TODO_APPROVE，打回使用 BUTTON_APPROVALS_TODO_RETURN，不使用轮胎专属审批权限。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/approvals/{id}/approve、/return-applicant、/return-step、/resubmit；POST /approvals/{id}/withdraw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r>
              <w:t>打回原因必填；不接收手填 nodeOrder；旧任务失效，目标及后续重新走。 撤回仅限未终态且未生效的本人申请，终止当前待办并保留历史；重新发起新实例。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PAGE_CHARGING_IMPORTS、BUTTON_CHARGING_IMPORTS_IMPORT、BUTTON_CHARGING_COMPANIES_MANAGE 查看；仅 BUTTON_CHARGING_COMPANIES_MANAGE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BUTTON_CHARGING_IMPORTS_IMPORT，读/下载 PAGE_CHARGING_IMPORTS；服务端重验、去重、事务及文件权限。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PAGE_CHARGING_IMPORTS 或 PAGE_EXPENSE_LEDGER；司机拒绝。</w:t>
            </w:r>
          </w:p>
        </w:tc>
      </w:tr>
      <w:tr>
        <w:tc>
          <w:tcPr>
            <w:tcW w:type="dxa" w:w="3267"/>
          </w:tcPr>
          <w:p>
            <w:r>
              <w:t>GET /approval-templates/options；POST /approval-templates；POST /approval-templates/{id}/versions</w:t>
            </w:r>
          </w:p>
        </w:tc>
        <w:tc>
          <w:tcPr>
            <w:tcW w:type="dxa" w:w="3267"/>
          </w:tcPr>
          <w:p>
            <w:r>
              <w:t>当前有效正式费用大类、可发起角色、审批角色及可选指定人；模板类型、费用大类、发起角色和节点</w:t>
            </w:r>
          </w:p>
        </w:tc>
        <w:tc>
          <w:tcPr>
            <w:tcW w:type="dxa" w:w="3267"/>
          </w:tcPr>
          <w:p>
            <w:r>
              <w:t>仅可新建 EXPENSE/TIRE_REPLACEMENT；GENERAL 历史只读。费用大类须当前有效，名称和稳定业务编号由服务端生成，同类型同费用大类有效模板唯一；节点角色必选、指定人选填。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DAILY Excel 仅通过预览辅助填充审批 items[]，TASK 仅单笔；不提供通用费用导入确认 API。当前只有充电公司专项订单使用独立确认 API 直接入账，最终仍写统一 ExpenseEntry。其它第三方来源须另行确认，不复用旧通用导入 API。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/tire-imports/{id}/confirm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 司机被禁用后，登录及已签发 Token 均拒绝司机业务请求；禁用有当前有效未完成任务时返回明确阻断数量。</w:t>
      </w:r>
    </w:p>
    <w:p>
      <w:r>
        <w:t>受保护 API 由后端功能注册表关联正式页面或按钮；读取 API 校验页面权限及数据范围，写入 API 校验按钮权限与所属页面权限。一个安全的共用读取 API 可使用内存 OR 授权；敏感资料使用受限 DTO 或专用查询入口。未注册 API 默认 403，仍执行身份、角色、审批节点、本人/参与范围、状态、并发、幂等及附件 Purpose 校验。HTTP 400/401/403/404/409/422/500 返回稳定业务码、可理解中文原因及仅供内部追踪的 requestId；前端错误弹窗不显示请求编号。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