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V2 目标基线修订</w:t>
      </w:r>
    </w:p>
    <w:p>
      <w:r>
        <w:rPr>
          <w:rFonts w:ascii="Microsoft YaHei" w:hAnsi="Microsoft YaHei" w:eastAsia="Microsoft YaHei"/>
          <w:b/>
          <w:sz w:val="21"/>
        </w:rPr>
        <w:t>本修订依据 docs/15-R7-BIZ-1-V2-评审决策冻结记录.md，描述 BIZ-1A～1D 后续实施的目标规则。当前数据库和已上线 API 未在 BIZ-1P 阶段改变。本文原 V1.0 正文中与本修订或冻结记录冲突的断言已废弃，仅保留现行实现与历史追溯意义。</w:t>
      </w:r>
    </w:p>
    <w:p>
      <w:r>
        <w:rPr>
          <w:rFonts w:ascii="Microsoft YaHei" w:hAnsi="Microsoft YaHei" w:eastAsia="Microsoft YaHei"/>
          <w:b/>
          <w:sz w:val="21"/>
        </w:rPr>
        <w:t>目标设计和完整测试条目见 docs/16-R7-BIZ-1P-V2-目标设计与验收基线.md。出现冻结记录内部冲突必须停止实施并标记 DECISION REQUIRED。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BIZ-1A：司机业务入口创建/关联 DRIVER User、driverType 变更校验、外协绑定拒绝；线路参与基础只读契约及新状态字段。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BIZ-1B：参与历史查询；按当前参与版本转派，提交新司机/外协车牌、所有工资核定及原因；独立参与工资调整、参与工资历史查询。转派与工资调整使用权限和幂等请求标识。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BIZ-1C：按线路查询合格 INTERNAL 公司车辆候选；费用列表增加具体 routeId 筛选；正式费用重新归属；完成线路分页经营摘要及详情经营组成；公司利润单列未归属有效费用；月结看板/分组明细/差异来源采用批量或分页契约，避免 N+1。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BIZ-1D：卸货请求增加非空磅单 attachmentIds；附件增加卸货专用 purpose/上传/只读查询与路线参与授权；达标三态；司机专用线路 DTO 删除财务与达标敏感字段。毛重/皮重仍同页提交。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UI-FIX：审批实例合法可打回步骤的只读列表和使用稳定 Step/Node ID 的打回动作；审批详情业务摘要、月结及线路经营 UI 依赖以上已实现契约。具体端点命名以实施阶段 OpenAPI 更新为准，不在本阶段声称已上线。</w:t>
      </w:r>
    </w:p>
    <w:p>
      <w:pPr/>
      <w:r>
        <w:rPr>
          <w:rFonts w:ascii="Microsoft YaHei" w:hAnsi="Microsoft YaHei" w:eastAsia="Microsoft YaHei"/>
          <w:b w:val="0"/>
          <w:sz w:val="21"/>
        </w:rPr>
        <w:t>当前正式 docs/openapi.yaml 必须与已实现 API 保持一致，因此本阶段不写入 proposed 端点。BIZ-1A～1D 分阶段同步 OpenAPI；既有路径保留兼容策略后再废弃。费用 Excel/CSV 模板未提供，不制定来源、列映射或唯一键。</w:t>
      </w:r>
    </w:p>
    <w:p>
      <w:pPr>
        <w:pStyle w:val="ListBullet"/>
        <w:keepLines/>
      </w:pPr>
      <w:r>
        <w:t>司机账号目标契约已冻结：基础资料创建司机时由后台创建人填写新账号初始密码；若手机号已有合法 DRIVER User，只关联且不修改密码。响应、Audit 和日志不得包含密码明文；重置沿用正式接口。当前 BIZ-1A 有安全服务底座但尚未开放此创建入口，实施时再同步正式 OpenAPI。</w:t>
      </w:r>
    </w:p>
    <w:p>
      <w:pPr>
        <w:pStyle w:val="ListBullet"/>
        <w:keepLines/>
      </w:pPr>
      <w:r>
        <w:t>外协初始线路目标契约已冻结：请求需真实外协车牌与必填初始工资（可为 0.00），不需 vehicleId；服务端查 Driver.driverType 分支，不接受客户端自报类型为权威，也不查、建、绑公司 vehicle。此首发布请求仍是后续阶段契约，不在 BIZ-1A OpenAPI 中伪称可调用。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以下为 V1.0 原始正文。与以上 V2 修订冲突的旧口径均已废弃。</w:t>
      </w:r>
    </w:p>
    <w:p>
      <w:pPr>
        <w:jc w:val="center"/>
      </w:pPr>
      <w:r>
        <w:rPr>
          <w:b/>
          <w:sz w:val="48"/>
        </w:rPr>
        <w:t>API接口设计说明书</w:t>
      </w:r>
    </w:p>
    <w:p>
      <w:pPr>
        <w:jc w:val="center"/>
      </w:pPr>
      <w:r>
        <w:t>V1.0</w:t>
        <w:br/>
        <w:t>微信小程序 / Web管理端 / Java后端统一接口契约</w:t>
        <w:br/>
        <w:t>需求基线：2026-09-04</w:t>
      </w:r>
    </w:p>
    <w:p>
      <w:r/>
    </w:p>
    <w:p>
      <w:pPr>
        <w:pStyle w:val="Heading1"/>
      </w:pPr>
      <w:r>
        <w:t>1. 总体接口规范</w:t>
      </w:r>
    </w:p>
    <w:p>
      <w:pPr>
        <w:pStyle w:val="ListBullet"/>
      </w:pPr>
      <w:r>
        <w:t>统一建议使用 /api/v1；JSON UTF-8；统一响应字段 code、message、data、requestId。</w:t>
      </w:r>
    </w:p>
    <w:p>
      <w:pPr>
        <w:pStyle w:val="ListBullet"/>
      </w:pPr>
      <w:r>
        <w:t>分页统一 pageNo、pageSize、total、records；金额使用 DECIMAL 对应高精度值，禁止浮点误差。</w:t>
      </w:r>
    </w:p>
    <w:p>
      <w:pPr>
        <w:pStyle w:val="ListBullet"/>
      </w:pPr>
      <w:r>
        <w:t>登录后使用访问令牌；所有关键操作由后端重新执行权限与业务状态校验。</w:t>
      </w:r>
    </w:p>
    <w:p>
      <w:pPr>
        <w:pStyle w:val="ListBullet"/>
      </w:pPr>
      <w:r>
        <w:t>发布、发车、卸货、作废、重新启用、审批、冲销、正式导入等必须使用动作型接口，不以普通更新接口代替。</w:t>
      </w:r>
    </w:p>
    <w:p>
      <w:pPr>
        <w:pStyle w:val="ListBullet"/>
      </w:pPr>
      <w:r>
        <w:t>关键动作建议支持 Idempotency-Key 或 requestId，避免网络重试、重复点击造成重复业务。</w:t>
      </w:r>
    </w:p>
    <w:p>
      <w:pPr>
        <w:pStyle w:val="Heading1"/>
      </w:pPr>
      <w:r>
        <w:t>2. 认证与账号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249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/api/v1/auth/login</w:t>
            </w:r>
          </w:p>
        </w:tc>
        <w:tc>
          <w:tcPr>
            <w:tcW w:type="dxa" w:w="3249"/>
          </w:tcPr>
          <w:p>
            <w:r>
              <w:t>手机号+密码登录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/api/v1/auth/logout</w:t>
            </w:r>
          </w:p>
        </w:tc>
        <w:tc>
          <w:tcPr>
            <w:tcW w:type="dxa" w:w="3249"/>
          </w:tcPr>
          <w:p>
            <w:r>
              <w:t>退出登录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/api/v1/me</w:t>
            </w:r>
          </w:p>
        </w:tc>
        <w:tc>
          <w:tcPr>
            <w:tcW w:type="dxa" w:w="3249"/>
          </w:tcPr>
          <w:p>
            <w:r>
              <w:t>当前账号、角色、权限、小程序能力</w:t>
            </w:r>
          </w:p>
        </w:tc>
      </w:tr>
      <w:tr>
        <w:tc>
          <w:tcPr>
            <w:tcW w:type="dxa" w:w="3249"/>
          </w:tcPr>
          <w:p>
            <w:r>
              <w:t>PUT</w:t>
            </w:r>
          </w:p>
        </w:tc>
        <w:tc>
          <w:tcPr>
            <w:tcW w:type="dxa" w:w="3249"/>
          </w:tcPr>
          <w:p>
            <w:r>
              <w:t>/api/v1/auth/password</w:t>
            </w:r>
          </w:p>
        </w:tc>
        <w:tc>
          <w:tcPr>
            <w:tcW w:type="dxa" w:w="3249"/>
          </w:tcPr>
          <w:p>
            <w:r>
              <w:t>修改本人密码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/api/v1/users/{id}/reset-password</w:t>
            </w:r>
          </w:p>
        </w:tc>
        <w:tc>
          <w:tcPr>
            <w:tcW w:type="dxa" w:w="3249"/>
          </w:tcPr>
          <w:p>
            <w:r>
              <w:t>管理员重置密码</w:t>
            </w:r>
          </w:p>
        </w:tc>
      </w:tr>
      <w:tr>
        <w:tc>
          <w:tcPr>
            <w:tcW w:type="dxa" w:w="3249"/>
          </w:tcPr>
          <w:p>
            <w:r>
              <w:t>PUT</w:t>
            </w:r>
          </w:p>
        </w:tc>
        <w:tc>
          <w:tcPr>
            <w:tcW w:type="dxa" w:w="3249"/>
          </w:tcPr>
          <w:p>
            <w:r>
              <w:t>/api/v1/users/{id}/status</w:t>
            </w:r>
          </w:p>
        </w:tc>
        <w:tc>
          <w:tcPr>
            <w:tcW w:type="dxa" w:w="3249"/>
          </w:tcPr>
          <w:p>
            <w:r>
              <w:t>启用/停用账号</w:t>
            </w:r>
          </w:p>
        </w:tc>
      </w:tr>
    </w:tbl>
    <w:p/>
    <w:p>
      <w:pPr>
        <w:pStyle w:val="Heading1"/>
      </w:pPr>
      <w:r>
        <w:t>3. 基础资料接口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249"/>
          </w:tcPr>
          <w:p>
            <w:r>
              <w:rPr>
                <w:b/>
              </w:rPr>
              <w:t>代表接口</w:t>
            </w:r>
          </w:p>
        </w:tc>
        <w:tc>
          <w:tcPr>
            <w:tcW w:type="dxa" w:w="3249"/>
          </w:tcPr>
          <w:p>
            <w:r>
              <w:rPr>
                <w:b/>
              </w:rPr>
              <w:t>关键规则</w:t>
            </w:r>
          </w:p>
        </w:tc>
      </w:tr>
      <w:tr>
        <w:tc>
          <w:tcPr>
            <w:tcW w:type="dxa" w:w="3249"/>
          </w:tcPr>
          <w:p>
            <w:r>
              <w:t>司机</w:t>
            </w:r>
          </w:p>
        </w:tc>
        <w:tc>
          <w:tcPr>
            <w:tcW w:type="dxa" w:w="3249"/>
          </w:tcPr>
          <w:p>
            <w:r>
              <w:t>GET/POST/PUT /drivers；POST /drivers/{id}/bind-vehicle；POST /drivers/{id}/unbind-vehicle</w:t>
            </w:r>
          </w:p>
        </w:tc>
        <w:tc>
          <w:tcPr>
            <w:tcW w:type="dxa" w:w="3249"/>
          </w:tcPr>
          <w:p>
            <w:r>
              <w:t>一个司机一辆车；运输中禁止解绑/换绑</w:t>
            </w:r>
          </w:p>
        </w:tc>
      </w:tr>
      <w:tr>
        <w:tc>
          <w:tcPr>
            <w:tcW w:type="dxa" w:w="3249"/>
          </w:tcPr>
          <w:p>
            <w:r>
              <w:t>车辆</w:t>
            </w:r>
          </w:p>
        </w:tc>
        <w:tc>
          <w:tcPr>
            <w:tcW w:type="dxa" w:w="3249"/>
          </w:tcPr>
          <w:p>
            <w:r>
              <w:t>GET/POST/PUT /vehicles；GET /vehicles/{id}/binding-history</w:t>
            </w:r>
          </w:p>
        </w:tc>
        <w:tc>
          <w:tcPr>
            <w:tcW w:type="dxa" w:w="3249"/>
          </w:tcPr>
          <w:p>
            <w:r>
              <w:t>车牌唯一；载重达标方式二选一</w:t>
            </w:r>
          </w:p>
        </w:tc>
      </w:tr>
      <w:tr>
        <w:tc>
          <w:tcPr>
            <w:tcW w:type="dxa" w:w="3249"/>
          </w:tcPr>
          <w:p>
            <w:r>
              <w:t>车挂</w:t>
            </w:r>
          </w:p>
        </w:tc>
        <w:tc>
          <w:tcPr>
            <w:tcW w:type="dxa" w:w="3249"/>
          </w:tcPr>
          <w:p>
            <w:r>
              <w:t>GET/POST/PUT /trailers；bind-vehicle；unbind-vehicle</w:t>
            </w:r>
          </w:p>
        </w:tc>
        <w:tc>
          <w:tcPr>
            <w:tcW w:type="dxa" w:w="3249"/>
          </w:tcPr>
          <w:p>
            <w:r>
              <w:t>车挂可无车辆；运输中禁止换挂</w:t>
            </w:r>
          </w:p>
        </w:tc>
      </w:tr>
      <w:tr>
        <w:tc>
          <w:tcPr>
            <w:tcW w:type="dxa" w:w="3249"/>
          </w:tcPr>
          <w:p>
            <w:r>
              <w:t>客户</w:t>
            </w:r>
          </w:p>
        </w:tc>
        <w:tc>
          <w:tcPr>
            <w:tcW w:type="dxa" w:w="3249"/>
          </w:tcPr>
          <w:p>
            <w:r>
              <w:t>GET/POST/PUT /customers</w:t>
            </w:r>
          </w:p>
        </w:tc>
        <w:tc>
          <w:tcPr>
            <w:tcW w:type="dxa" w:w="3249"/>
          </w:tcPr>
          <w:p>
            <w:r>
              <w:t>启停、编码/名称校验</w:t>
            </w:r>
          </w:p>
        </w:tc>
      </w:tr>
      <w:tr>
        <w:tc>
          <w:tcPr>
            <w:tcW w:type="dxa" w:w="3249"/>
          </w:tcPr>
          <w:p>
            <w:r>
              <w:t>产品</w:t>
            </w:r>
          </w:p>
        </w:tc>
        <w:tc>
          <w:tcPr>
            <w:tcW w:type="dxa" w:w="3249"/>
          </w:tcPr>
          <w:p>
            <w:r>
              <w:t>GET/POST/PUT /products</w:t>
            </w:r>
          </w:p>
        </w:tc>
        <w:tc>
          <w:tcPr>
            <w:tcW w:type="dxa" w:w="3249"/>
          </w:tcPr>
          <w:p>
            <w:r>
              <w:t>启停、编码/名称校验</w:t>
            </w:r>
          </w:p>
        </w:tc>
      </w:tr>
    </w:tbl>
    <w:p/>
    <w:p>
      <w:pPr>
        <w:pStyle w:val="Heading1"/>
      </w:pPr>
      <w:r>
        <w:t>4. 线路接口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/api/v1/routes</w:t>
            </w:r>
          </w:p>
        </w:tc>
        <w:tc>
          <w:tcPr>
            <w:tcW w:type="dxa" w:w="3249"/>
          </w:tcPr>
          <w:p>
            <w:r>
              <w:t>线路列表、分页、筛选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/api/v1/routes/{id}</w:t>
            </w:r>
          </w:p>
        </w:tc>
        <w:tc>
          <w:tcPr>
            <w:tcW w:type="dxa" w:w="3249"/>
          </w:tcPr>
          <w:p>
            <w:r>
              <w:t>线路详情、快照、重量、费用、利润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/api/v1/routes</w:t>
            </w:r>
          </w:p>
        </w:tc>
        <w:tc>
          <w:tcPr>
            <w:tcW w:type="dxa" w:w="3249"/>
          </w:tcPr>
          <w:p>
            <w:r>
              <w:t>创建线路</w:t>
            </w:r>
          </w:p>
        </w:tc>
      </w:tr>
      <w:tr>
        <w:tc>
          <w:tcPr>
            <w:tcW w:type="dxa" w:w="3249"/>
          </w:tcPr>
          <w:p>
            <w:r>
              <w:t>PUT</w:t>
            </w:r>
          </w:p>
        </w:tc>
        <w:tc>
          <w:tcPr>
            <w:tcW w:type="dxa" w:w="3249"/>
          </w:tcPr>
          <w:p>
            <w:r>
              <w:t>/api/v1/routes/{id}</w:t>
            </w:r>
          </w:p>
        </w:tc>
        <w:tc>
          <w:tcPr>
            <w:tcW w:type="dxa" w:w="3249"/>
          </w:tcPr>
          <w:p>
            <w:r>
              <w:t>发车前允许字段编辑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/api/v1/routes/{id}/publish</w:t>
            </w:r>
          </w:p>
        </w:tc>
        <w:tc>
          <w:tcPr>
            <w:tcW w:type="dxa" w:w="3249"/>
          </w:tcPr>
          <w:p>
            <w:r>
              <w:t>发布并强校验司机/车辆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/api/v1/routes/{id}/cancel</w:t>
            </w:r>
          </w:p>
        </w:tc>
        <w:tc>
          <w:tcPr>
            <w:tcW w:type="dxa" w:w="3249"/>
          </w:tcPr>
          <w:p>
            <w:r>
              <w:t>发车前取消</w:t>
            </w:r>
          </w:p>
        </w:tc>
      </w:tr>
      <w:tr>
        <w:tc>
          <w:tcPr>
            <w:tcW w:type="dxa" w:w="3249"/>
          </w:tcPr>
          <w:p>
            <w:r>
              <w:t>DELETE</w:t>
            </w:r>
          </w:p>
        </w:tc>
        <w:tc>
          <w:tcPr>
            <w:tcW w:type="dxa" w:w="3249"/>
          </w:tcPr>
          <w:p>
            <w:r>
              <w:t>/api/v1/routes/{id}</w:t>
            </w:r>
          </w:p>
        </w:tc>
        <w:tc>
          <w:tcPr>
            <w:tcW w:type="dxa" w:w="3249"/>
          </w:tcPr>
          <w:p>
            <w:r>
              <w:t>发车前逻辑删除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/api/v1/routes/{id}/depart</w:t>
            </w:r>
          </w:p>
        </w:tc>
        <w:tc>
          <w:tcPr>
            <w:tcW w:type="dxa" w:w="3249"/>
          </w:tcPr>
          <w:p>
            <w:r>
              <w:t>司机发车；冻结司机/车辆/车挂快照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/api/v1/routes/{id}/unload</w:t>
            </w:r>
          </w:p>
        </w:tc>
        <w:tc>
          <w:tcPr>
            <w:tcW w:type="dxa" w:w="3249"/>
          </w:tcPr>
          <w:p>
            <w:r>
              <w:t>提交毛重、皮重并完成卸货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/api/v1/routes/{id}/void</w:t>
            </w:r>
          </w:p>
        </w:tc>
        <w:tc>
          <w:tcPr>
            <w:tcW w:type="dxa" w:w="3249"/>
          </w:tcPr>
          <w:p>
            <w:r>
              <w:t>运输中管理端作废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/api/v1/routes/{id}/reactivate</w:t>
            </w:r>
          </w:p>
        </w:tc>
        <w:tc>
          <w:tcPr>
            <w:tcW w:type="dxa" w:w="3249"/>
          </w:tcPr>
          <w:p>
            <w:r>
              <w:t>作废线路重新启用并强校验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/api/v1/routes/{id}/weight-adjustments</w:t>
            </w:r>
          </w:p>
        </w:tc>
        <w:tc>
          <w:tcPr>
            <w:tcW w:type="dxa" w:w="3249"/>
          </w:tcPr>
          <w:p>
            <w:r>
              <w:t>授权人员纠正毛重/皮重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/api/v1/routes/{id}/history</w:t>
            </w:r>
          </w:p>
        </w:tc>
        <w:tc>
          <w:tcPr>
            <w:tcW w:type="dxa" w:w="3249"/>
          </w:tcPr>
          <w:p>
            <w:r>
              <w:t>状态、重量调整、关键操作历史</w:t>
            </w:r>
          </w:p>
        </w:tc>
      </w:tr>
    </w:tbl>
    <w:p/>
    <w:p>
      <w:pPr>
        <w:pStyle w:val="ListBullet"/>
      </w:pPr>
      <w:r>
        <w:t>发布：司机必须存在且有效、司机当前必须有车辆；若线路保留导入车辆信息则必须与当前绑定车辆一致；车辆不得存在冲突运输任务。</w:t>
      </w:r>
    </w:p>
    <w:p>
      <w:pPr>
        <w:pStyle w:val="ListBullet"/>
      </w:pPr>
      <w:r>
        <w:t>发车：再次执行发布级校验，并保存 departure_driver_id、departure_vehicle_id、departure_trailer_id、departure_time。</w:t>
      </w:r>
    </w:p>
    <w:p>
      <w:pPr>
        <w:pStyle w:val="ListBullet"/>
      </w:pPr>
      <w:r>
        <w:t>卸货：毛重和皮重同次提交，毛重必须大于皮重；不达标不能阻断卸货。</w:t>
      </w:r>
    </w:p>
    <w:p>
      <w:pPr>
        <w:pStyle w:val="ListBullet"/>
      </w:pPr>
      <w:r>
        <w:t>重新启用：校验原运输快照与当前司机/车辆/车挂关系，不一致时禁止恢复。</w:t>
      </w:r>
    </w:p>
    <w:p>
      <w:pPr>
        <w:pStyle w:val="ListBullet"/>
      </w:pPr>
      <w:r>
        <w:t>重量调整：只能提交毛重、皮重；reason 必填，attachments 选填；实际载重由服务端计算。</w:t>
      </w:r>
    </w:p>
    <w:p>
      <w:pPr>
        <w:pStyle w:val="Heading1"/>
      </w:pPr>
      <w:r>
        <w:t>5. 导入中心接口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/api/v1/imports/preview</w:t>
            </w:r>
          </w:p>
        </w:tc>
        <w:tc>
          <w:tcPr>
            <w:tcW w:type="dxa" w:w="3249"/>
          </w:tcPr>
          <w:p>
            <w:r>
              <w:t>上传文件、解析、预览、逐行预校验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/api/v1/imports/{taskId}/commit</w:t>
            </w:r>
          </w:p>
        </w:tc>
        <w:tc>
          <w:tcPr>
            <w:tcW w:type="dxa" w:w="3249"/>
          </w:tcPr>
          <w:p>
            <w:r>
              <w:t>正式上传并再次执行全部校验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/api/v1/imports</w:t>
            </w:r>
          </w:p>
        </w:tc>
        <w:tc>
          <w:tcPr>
            <w:tcW w:type="dxa" w:w="3249"/>
          </w:tcPr>
          <w:p>
            <w:r>
              <w:t>导入任务历史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/api/v1/imports/{id}</w:t>
            </w:r>
          </w:p>
        </w:tc>
        <w:tc>
          <w:tcPr>
            <w:tcW w:type="dxa" w:w="3249"/>
          </w:tcPr>
          <w:p>
            <w:r>
              <w:t>导入任务汇总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/api/v1/imports/{id}/rows</w:t>
            </w:r>
          </w:p>
        </w:tc>
        <w:tc>
          <w:tcPr>
            <w:tcW w:type="dxa" w:w="3249"/>
          </w:tcPr>
          <w:p>
            <w:r>
              <w:t>逐行原始数据、标准数据、预校验、最终结果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/api/v1/imports/{id}/failures/export</w:t>
            </w:r>
          </w:p>
        </w:tc>
        <w:tc>
          <w:tcPr>
            <w:tcW w:type="dxa" w:w="3249"/>
          </w:tcPr>
          <w:p>
            <w:r>
              <w:t>导出失败明细</w:t>
            </w:r>
          </w:p>
        </w:tc>
      </w:tr>
    </w:tbl>
    <w:p/>
    <w:p>
      <w:pPr>
        <w:pStyle w:val="ListBullet"/>
      </w:pPr>
      <w:r>
        <w:t>线路导入结果至少区分 SUCCESS_PUBLISHED、SUCCESS_UNPUBLISHED、FAILED。</w:t>
      </w:r>
    </w:p>
    <w:p>
      <w:pPr>
        <w:pStyle w:val="ListBullet"/>
      </w:pPr>
      <w:r>
        <w:t>重复数据必须返回明确错误码和原因；数据库唯一约束/幂等机制作为最终兜底。</w:t>
      </w:r>
    </w:p>
    <w:p>
      <w:pPr>
        <w:pStyle w:val="ListBullet"/>
      </w:pPr>
      <w:r>
        <w:t>预览通过不代表正式提交一定成功，commit 必须按最新绑定、状态、唯一性重新校验。</w:t>
      </w:r>
    </w:p>
    <w:p>
      <w:pPr>
        <w:pStyle w:val="Heading1"/>
      </w:pPr>
      <w:r>
        <w:t>6. 费用接口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/api/v1/expenses</w:t>
            </w:r>
          </w:p>
        </w:tc>
        <w:tc>
          <w:tcPr>
            <w:tcW w:type="dxa" w:w="3249"/>
          </w:tcPr>
          <w:p>
            <w:r>
              <w:t>统一费用查询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/api/v1/expenses</w:t>
            </w:r>
          </w:p>
        </w:tc>
        <w:tc>
          <w:tcPr>
            <w:tcW w:type="dxa" w:w="3249"/>
          </w:tcPr>
          <w:p>
            <w:r>
              <w:t>人工新增费用</w:t>
            </w:r>
          </w:p>
        </w:tc>
      </w:tr>
      <w:tr>
        <w:tc>
          <w:tcPr>
            <w:tcW w:type="dxa" w:w="3249"/>
          </w:tcPr>
          <w:p>
            <w:r>
              <w:t>PUT</w:t>
            </w:r>
          </w:p>
        </w:tc>
        <w:tc>
          <w:tcPr>
            <w:tcW w:type="dxa" w:w="3249"/>
          </w:tcPr>
          <w:p>
            <w:r>
              <w:t>/api/v1/expenses/{id}</w:t>
            </w:r>
          </w:p>
        </w:tc>
        <w:tc>
          <w:tcPr>
            <w:tcW w:type="dxa" w:w="3249"/>
          </w:tcPr>
          <w:p>
            <w:r>
              <w:t>仅人工/导入等允许来源编辑</w:t>
            </w:r>
          </w:p>
        </w:tc>
      </w:tr>
      <w:tr>
        <w:tc>
          <w:tcPr>
            <w:tcW w:type="dxa" w:w="3249"/>
          </w:tcPr>
          <w:p>
            <w:r>
              <w:t>DELETE</w:t>
            </w:r>
          </w:p>
        </w:tc>
        <w:tc>
          <w:tcPr>
            <w:tcW w:type="dxa" w:w="3249"/>
          </w:tcPr>
          <w:p>
            <w:r>
              <w:t>/api/v1/expenses/{id}</w:t>
            </w:r>
          </w:p>
        </w:tc>
        <w:tc>
          <w:tcPr>
            <w:tcW w:type="dxa" w:w="3249"/>
          </w:tcPr>
          <w:p>
            <w:r>
              <w:t>允许来源逻辑删除</w:t>
            </w:r>
          </w:p>
        </w:tc>
      </w:tr>
      <w:tr>
        <w:tc>
          <w:tcPr>
            <w:tcW w:type="dxa" w:w="3249"/>
          </w:tcPr>
          <w:p>
            <w:r>
              <w:t>PUT</w:t>
            </w:r>
          </w:p>
        </w:tc>
        <w:tc>
          <w:tcPr>
            <w:tcW w:type="dxa" w:w="3249"/>
          </w:tcPr>
          <w:p>
            <w:r>
              <w:t>/api/v1/expenses/{id}/attribution</w:t>
            </w:r>
          </w:p>
        </w:tc>
        <w:tc>
          <w:tcPr>
            <w:tcW w:type="dxa" w:w="3249"/>
          </w:tcPr>
          <w:p>
            <w:r>
              <w:t>线路/日常或线路归属调整并留痕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/api/v1/expenses/{id}/reversal</w:t>
            </w:r>
          </w:p>
        </w:tc>
        <w:tc>
          <w:tcPr>
            <w:tcW w:type="dxa" w:w="3249"/>
          </w:tcPr>
          <w:p>
            <w:r>
              <w:t>审批费用冲销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/api/v1/expenses/{id}/approval</w:t>
            </w:r>
          </w:p>
        </w:tc>
        <w:tc>
          <w:tcPr>
            <w:tcW w:type="dxa" w:w="3249"/>
          </w:tcPr>
          <w:p>
            <w:r>
              <w:t>查看关联审批链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/api/v1/expenses/{id}/history</w:t>
            </w:r>
          </w:p>
        </w:tc>
        <w:tc>
          <w:tcPr>
            <w:tcW w:type="dxa" w:w="3249"/>
          </w:tcPr>
          <w:p>
            <w:r>
              <w:t>修改、归属、冲销历史</w:t>
            </w:r>
          </w:p>
        </w:tc>
      </w:tr>
    </w:tbl>
    <w:p/>
    <w:p>
      <w:pPr>
        <w:pStyle w:val="ListBullet"/>
      </w:pPr>
      <w:r>
        <w:t>所有费用 vehicleId 必填。</w:t>
      </w:r>
    </w:p>
    <w:p>
      <w:pPr>
        <w:pStyle w:val="ListBullet"/>
      </w:pPr>
      <w:r>
        <w:t>attributionType=ROUTE 时 routeId 必填；DAILY 时 routeId 为空。</w:t>
      </w:r>
    </w:p>
    <w:p>
      <w:pPr>
        <w:pStyle w:val="ListBullet"/>
      </w:pPr>
      <w:r>
        <w:t>审批通过费用禁止直接编辑；错误采用冲销原费用并重新发起审批。</w:t>
      </w:r>
    </w:p>
    <w:p>
      <w:pPr>
        <w:pStyle w:val="ListBullet"/>
      </w:pPr>
      <w:r>
        <w:t>电费/气费导入可自动匹配线路，导入后允许有权限人员修改最终归属。</w:t>
      </w:r>
    </w:p>
    <w:p>
      <w:pPr>
        <w:pStyle w:val="Heading1"/>
      </w:pPr>
      <w:r>
        <w:t>7. 审批接口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/api/v1/approvals</w:t>
            </w:r>
          </w:p>
        </w:tc>
        <w:tc>
          <w:tcPr>
            <w:tcW w:type="dxa" w:w="3249"/>
          </w:tcPr>
          <w:p>
            <w:r>
              <w:t>发起审批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/api/v1/approvals</w:t>
            </w:r>
          </w:p>
        </w:tc>
        <w:tc>
          <w:tcPr>
            <w:tcW w:type="dxa" w:w="3249"/>
          </w:tcPr>
          <w:p>
            <w:r>
              <w:t>待办、已办、我发起、全部查询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/api/v1/approvals/{id}</w:t>
            </w:r>
          </w:p>
        </w:tc>
        <w:tc>
          <w:tcPr>
            <w:tcW w:type="dxa" w:w="3249"/>
          </w:tcPr>
          <w:p>
            <w:r>
              <w:t>审批详情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/api/v1/approvals/{id}/timeline</w:t>
            </w:r>
          </w:p>
        </w:tc>
        <w:tc>
          <w:tcPr>
            <w:tcW w:type="dxa" w:w="3249"/>
          </w:tcPr>
          <w:p>
            <w:r>
              <w:t>完整申请版本和审批链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/api/v1/approvals/{id}/approve</w:t>
            </w:r>
          </w:p>
        </w:tc>
        <w:tc>
          <w:tcPr>
            <w:tcW w:type="dxa" w:w="3249"/>
          </w:tcPr>
          <w:p>
            <w:r>
              <w:t>当前节点通过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/api/v1/approvals/{id}/return-applicant</w:t>
            </w:r>
          </w:p>
        </w:tc>
        <w:tc>
          <w:tcPr>
            <w:tcW w:type="dxa" w:w="3249"/>
          </w:tcPr>
          <w:p>
            <w:r>
              <w:t>打回申请人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/api/v1/approvals/{id}/return-node</w:t>
            </w:r>
          </w:p>
        </w:tc>
        <w:tc>
          <w:tcPr>
            <w:tcW w:type="dxa" w:w="3249"/>
          </w:tcPr>
          <w:p>
            <w:r>
              <w:t>打回指定前序节点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/api/v1/approvals/{id}/resubmit</w:t>
            </w:r>
          </w:p>
        </w:tc>
        <w:tc>
          <w:tcPr>
            <w:tcW w:type="dxa" w:w="3249"/>
          </w:tcPr>
          <w:p>
            <w:r>
              <w:t>申请人修改后重新提交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/api/v1/approval-flows/{id}/maintenance</w:t>
            </w:r>
          </w:p>
        </w:tc>
        <w:tc>
          <w:tcPr>
            <w:tcW w:type="dxa" w:w="3249"/>
          </w:tcPr>
          <w:p>
            <w:r>
              <w:t>流程进入维护，立即禁止新发起</w:t>
            </w:r>
          </w:p>
        </w:tc>
      </w:tr>
      <w:tr>
        <w:tc>
          <w:tcPr>
            <w:tcW w:type="dxa" w:w="3249"/>
          </w:tcPr>
          <w:p>
            <w:r>
              <w:t>PUT</w:t>
            </w:r>
          </w:p>
        </w:tc>
        <w:tc>
          <w:tcPr>
            <w:tcW w:type="dxa" w:w="3249"/>
          </w:tcPr>
          <w:p>
            <w:r>
              <w:t>/api/v1/approval-flows/{id}</w:t>
            </w:r>
          </w:p>
        </w:tc>
        <w:tc>
          <w:tcPr>
            <w:tcW w:type="dxa" w:w="3249"/>
          </w:tcPr>
          <w:p>
            <w:r>
              <w:t>无在途审批后修改流程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/api/v1/approval-flows/{id}/publish</w:t>
            </w:r>
          </w:p>
        </w:tc>
        <w:tc>
          <w:tcPr>
            <w:tcW w:type="dxa" w:w="3249"/>
          </w:tcPr>
          <w:p>
            <w:r>
              <w:t>重新发布流程</w:t>
            </w:r>
          </w:p>
        </w:tc>
      </w:tr>
    </w:tbl>
    <w:p/>
    <w:p>
      <w:pPr>
        <w:pStyle w:val="ListBullet"/>
      </w:pPr>
      <w:r>
        <w:t>审批接口必须校验登录用户是否为当前节点配置的实际审批人。</w:t>
      </w:r>
    </w:p>
    <w:p>
      <w:pPr>
        <w:pStyle w:val="ListBullet"/>
      </w:pPr>
      <w:r>
        <w:t>D 打回 B 时后续重新执行 B→C→D；申请数据发生变化后旧的 C/D 结果不可复用。</w:t>
      </w:r>
    </w:p>
    <w:p>
      <w:pPr>
        <w:pStyle w:val="ListBullet"/>
      </w:pPr>
      <w:r>
        <w:t>流程维护期间发起接口统一返回 APPROVAL_FLOW_MAINTENANCE。</w:t>
      </w:r>
    </w:p>
    <w:p>
      <w:pPr>
        <w:pStyle w:val="Heading1"/>
      </w:pPr>
      <w:r>
        <w:t>8. 轮胎与 OCR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/api/v1/tires</w:t>
            </w:r>
          </w:p>
        </w:tc>
        <w:tc>
          <w:tcPr>
            <w:tcW w:type="dxa" w:w="3249"/>
          </w:tcPr>
          <w:p>
            <w:r>
              <w:t>轮胎库存/历史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/api/v1/tire-requests</w:t>
            </w:r>
          </w:p>
        </w:tc>
        <w:tc>
          <w:tcPr>
            <w:tcW w:type="dxa" w:w="3249"/>
          </w:tcPr>
          <w:p>
            <w:r>
              <w:t>发起多轮胎换胎申请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/api/v1/tire-requests/{id}</w:t>
            </w:r>
          </w:p>
        </w:tc>
        <w:tc>
          <w:tcPr>
            <w:tcW w:type="dxa" w:w="3249"/>
          </w:tcPr>
          <w:p>
            <w:r>
              <w:t>申请、轮胎、OCR、审批详情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/api/v1/ocr/tire-number</w:t>
            </w:r>
          </w:p>
        </w:tc>
        <w:tc>
          <w:tcPr>
            <w:tcW w:type="dxa" w:w="3249"/>
          </w:tcPr>
          <w:p>
            <w:r>
              <w:t>上传胎号原图并识别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/api/v1/ocr/{id}/confirm</w:t>
            </w:r>
          </w:p>
        </w:tc>
        <w:tc>
          <w:tcPr>
            <w:tcW w:type="dxa" w:w="3249"/>
          </w:tcPr>
          <w:p>
            <w:r>
              <w:t>确认最终胎号</w:t>
            </w:r>
          </w:p>
        </w:tc>
      </w:tr>
    </w:tbl>
    <w:p/>
    <w:p>
      <w:pPr>
        <w:pStyle w:val="ListBullet"/>
      </w:pPr>
      <w:r>
        <w:t>保存原图、OCR 原始结果、用户最终确认值。</w:t>
      </w:r>
    </w:p>
    <w:p>
      <w:pPr>
        <w:pStyle w:val="ListBullet"/>
      </w:pPr>
      <w:r>
        <w:t>正式提交换胎申请时再次校验胎号存在且未被申领/占用。</w:t>
      </w:r>
    </w:p>
    <w:p>
      <w:pPr>
        <w:pStyle w:val="Heading1"/>
      </w:pPr>
      <w:r>
        <w:t>9. 报表与月度结算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/api/v1/reports/dashboard</w:t>
            </w:r>
          </w:p>
        </w:tc>
        <w:tc>
          <w:tcPr>
            <w:tcW w:type="dxa" w:w="3249"/>
          </w:tcPr>
          <w:p>
            <w:r>
              <w:t>首页经营看板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/api/v1/reports/profit</w:t>
            </w:r>
          </w:p>
        </w:tc>
        <w:tc>
          <w:tcPr>
            <w:tcW w:type="dxa" w:w="3249"/>
          </w:tcPr>
          <w:p>
            <w:r>
              <w:t>利润报表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/api/v1/reports/vehicle-expense</w:t>
            </w:r>
          </w:p>
        </w:tc>
        <w:tc>
          <w:tcPr>
            <w:tcW w:type="dxa" w:w="3249"/>
          </w:tcPr>
          <w:p>
            <w:r>
              <w:t>车辆支出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/api/v1/reports/driver-expense</w:t>
            </w:r>
          </w:p>
        </w:tc>
        <w:tc>
          <w:tcPr>
            <w:tcW w:type="dxa" w:w="3249"/>
          </w:tcPr>
          <w:p>
            <w:r>
              <w:t>司机支出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/api/v1/reports/attendance</w:t>
            </w:r>
          </w:p>
        </w:tc>
        <w:tc>
          <w:tcPr>
            <w:tcW w:type="dxa" w:w="3249"/>
          </w:tcPr>
          <w:p>
            <w:r>
              <w:t>出勤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/api/v1/reports/energy</w:t>
            </w:r>
          </w:p>
        </w:tc>
        <w:tc>
          <w:tcPr>
            <w:tcW w:type="dxa" w:w="3249"/>
          </w:tcPr>
          <w:p>
            <w:r>
              <w:t>电费/气费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/api/v1/settlements/{yyyyMM}/versions</w:t>
            </w:r>
          </w:p>
        </w:tc>
        <w:tc>
          <w:tcPr>
            <w:tcW w:type="dxa" w:w="3249"/>
          </w:tcPr>
          <w:p>
            <w:r>
              <w:t>生成月度结算新版本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/api/v1/settlements/{yyyyMM}/versions</w:t>
            </w:r>
          </w:p>
        </w:tc>
        <w:tc>
          <w:tcPr>
            <w:tcW w:type="dxa" w:w="3249"/>
          </w:tcPr>
          <w:p>
            <w:r>
              <w:t>版本列表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/api/v1/settlements/versions/{id}/details</w:t>
            </w:r>
          </w:p>
        </w:tc>
        <w:tc>
          <w:tcPr>
            <w:tcW w:type="dxa" w:w="3249"/>
          </w:tcPr>
          <w:p>
            <w:r>
              <w:t>结算快照明细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/api/v1/settlements/versions/{id}/diff</w:t>
            </w:r>
          </w:p>
        </w:tc>
        <w:tc>
          <w:tcPr>
            <w:tcW w:type="dxa" w:w="3249"/>
          </w:tcPr>
          <w:p>
            <w:r>
              <w:t>相对上一版本差异</w:t>
            </w:r>
          </w:p>
        </w:tc>
      </w:tr>
    </w:tbl>
    <w:p/>
    <w:p>
      <w:pPr>
        <w:pStyle w:val="ListBullet"/>
      </w:pPr>
      <w:r>
        <w:t>实时经营数据始终按当前有效业务数据计算。</w:t>
      </w:r>
    </w:p>
    <w:p>
      <w:pPr>
        <w:pStyle w:val="ListBullet"/>
      </w:pPr>
      <w:r>
        <w:t>历史结算版本不可被后续业务修改覆盖。</w:t>
      </w:r>
    </w:p>
    <w:p>
      <w:pPr>
        <w:pStyle w:val="ListBullet"/>
      </w:pPr>
      <w:r>
        <w:t>版本差异必须返回新增、删除、修改、归属变化、重量调整、金额/利润影响、实际操作人、操作时间和原因。</w:t>
      </w:r>
    </w:p>
    <w:p>
      <w:pPr>
        <w:pStyle w:val="Heading1"/>
      </w:pPr>
      <w:r>
        <w:t>10. 附件接口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/api/v1/attachments</w:t>
            </w:r>
          </w:p>
        </w:tc>
        <w:tc>
          <w:tcPr>
            <w:tcW w:type="dxa" w:w="3249"/>
          </w:tcPr>
          <w:p>
            <w:r>
              <w:t>上传原图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/api/v1/attachments/{id}</w:t>
            </w:r>
          </w:p>
        </w:tc>
        <w:tc>
          <w:tcPr>
            <w:tcW w:type="dxa" w:w="3249"/>
          </w:tcPr>
          <w:p>
            <w:r>
              <w:t>附件元数据/访问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/api/v1/attachments</w:t>
            </w:r>
          </w:p>
        </w:tc>
        <w:tc>
          <w:tcPr>
            <w:tcW w:type="dxa" w:w="3249"/>
          </w:tcPr>
          <w:p>
            <w:r>
              <w:t>按 ownerType/ownerId 查询附件</w:t>
            </w:r>
          </w:p>
        </w:tc>
      </w:tr>
    </w:tbl>
    <w:p/>
    <w:p>
      <w:pPr>
        <w:pStyle w:val="ListBullet"/>
      </w:pPr>
      <w:r>
        <w:t>审批单次最多9张但允许多次上传；业务上不主动压缩原图。</w:t>
      </w:r>
    </w:p>
    <w:p>
      <w:pPr>
        <w:pStyle w:val="ListBullet"/>
      </w:pPr>
      <w:r>
        <w:t>审批过程中的附件不提供普通删除接口；需要更换必须通过打回流程。</w:t>
      </w:r>
    </w:p>
    <w:p>
      <w:pPr>
        <w:pStyle w:val="Heading1"/>
      </w:pPr>
      <w:r>
        <w:t>11. 统一错误响应</w:t>
      </w:r>
    </w:p>
    <w:p>
      <w:r>
        <w:t>示例：{"code":"ROUTE_004","message":"司机与车辆不匹配","data":{"driverId":1,"currentVehicle":"鄂A12345","inputVehicle":"鄂A67890"},"requestId":"..."}</w:t>
      </w:r>
    </w:p>
    <w:p>
      <w:pPr>
        <w:pStyle w:val="ListBullet"/>
      </w:pPr>
      <w:r>
        <w:t>错误码必须稳定，前端不得依赖后端临时中文字符串判断业务。</w:t>
      </w:r>
    </w:p>
    <w:p>
      <w:pPr>
        <w:pStyle w:val="ListBullet"/>
      </w:pPr>
      <w:r>
        <w:t>可读 message 可随业务上下文补充，但 code 作为程序判断依据。</w:t>
      </w:r>
    </w:p>
    <w:p>
      <w:pPr>
        <w:pStyle w:val="Heading1"/>
      </w:pPr>
      <w:r>
        <w:t>12. 关键事务边界</w:t>
      </w:r>
    </w:p>
    <w:p>
      <w:pPr>
        <w:pStyle w:val="ListBullet"/>
      </w:pPr>
      <w:r>
        <w:t>司机车辆绑定/解绑、车辆车挂绑定/解绑：加锁校验运输中任务后再更新当前关系并写历史。</w:t>
      </w:r>
    </w:p>
    <w:p>
      <w:pPr>
        <w:pStyle w:val="ListBullet"/>
      </w:pPr>
      <w:r>
        <w:t>发车：锁线路→校验当前绑定→保存发车快照→更新状态→写状态历史，一个事务完成。</w:t>
      </w:r>
    </w:p>
    <w:p>
      <w:pPr>
        <w:pStyle w:val="ListBullet"/>
      </w:pPr>
      <w:r>
        <w:t>卸货：校验重量→生成司机原始重量版本→设置有效重量→完成线路→释放业务锁语义，一个事务完成。</w:t>
      </w:r>
    </w:p>
    <w:p>
      <w:pPr>
        <w:pStyle w:val="ListBullet"/>
      </w:pPr>
      <w:r>
        <w:t>审批通过：更新任务/实例；最终节点涉及费用或轮胎时，同时生成对应正式业务结果。</w:t>
      </w:r>
    </w:p>
    <w:p>
      <w:pPr>
        <w:pStyle w:val="ListBullet"/>
      </w:pPr>
      <w:r>
        <w:t>费用冲销：原费用状态、负向冲销记录及审计记录同事务。</w:t>
      </w:r>
    </w:p>
    <w:p>
      <w:pPr>
        <w:pStyle w:val="ListBullet"/>
      </w:pPr>
      <w:r>
        <w:t>正式导入：按行隔离处理，允许部分成功；每行结果必须与业务入库结果一致。</w:t>
      </w:r>
    </w:p>
    <w:p>
      <w:pPr>
        <w:pStyle w:val="ListBullet"/>
      </w:pPr>
      <w:r>
        <w:t>月度结算：在一致性读视图下生成版本、明细快照和版本差异。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