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V2 目标基线修订</w:t>
      </w:r>
    </w:p>
    <w:p>
      <w:r>
        <w:rPr>
          <w:rFonts w:ascii="Microsoft YaHei" w:hAnsi="Microsoft YaHei" w:eastAsia="Microsoft YaHei"/>
          <w:b/>
          <w:sz w:val="21"/>
        </w:rPr>
        <w:t>本修订依据 docs/15-R7-BIZ-1-V2-评审决策冻结记录.md，描述 BIZ-1A～1D 后续实施的目标规则。当前数据库和已上线 API 未在 BIZ-1P 阶段改变。本文原 V1.0 正文中与本修订或冻结记录冲突的断言已废弃，仅保留现行实现与历史追溯意义。</w:t>
      </w:r>
    </w:p>
    <w:p>
      <w:r>
        <w:rPr>
          <w:rFonts w:ascii="Microsoft YaHei" w:hAnsi="Microsoft YaHei" w:eastAsia="Microsoft YaHei"/>
          <w:b/>
          <w:sz w:val="21"/>
        </w:rPr>
        <w:t>目标设计和完整测试条目见 docs/16-R7-BIZ-1P-V2-目标设计与验收基线.md。出现冻结记录内部冲突必须停止实施并标记 DECISION REQUIRED。</w:t>
      </w:r>
    </w:p>
    <w:p>
      <w:pPr/>
      <w:r>
        <w:rPr>
          <w:rFonts w:ascii="Microsoft YaHei" w:hAnsi="Microsoft YaHei" w:eastAsia="Microsoft YaHei"/>
          <w:b w:val="0"/>
          <w:sz w:val="21"/>
        </w:rPr>
        <w:t>以下为 BIZ-1A～1R 必须新增的未来用例，不表示本阶段已经执行：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A01 用户管理不能创建/分配 DRIVER，司机流程原子创建/关联 User；driverType 变更受绑定、未完线路、工资历史保护。A02 OUTSOURCED 绑定 API、候选均拒绝；外协线路无 company vehicle 仍可按真实车牌与工资发布。</w:t>
      </w:r>
    </w:p>
    <w:p>
      <w:pPr>
        <w:pStyle w:val="ListBullet"/>
      </w:pPr>
      <w:r>
        <w:t>B01 三次以上转派顺序、快照和历史完整；B02 转派后未发车再次转派只能继续转派；B03 转派与卸货并发仅一个成功，旧司机卸货 403/业务拒绝；B04 转派链最终卸货前作废拒绝，完成后按完成线规则可作废。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B05 转派工资重核所有参与，新工资必填，可为 0.00；相同金额不追加历史。B06 独立工资调整需要独立权限与原因；路线工资合计正确，普通取消初始指派不计。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C01 多 INTERNAL 参与公司车都可产生该线路费用，OUTSOURCED 车牌不可；查询时资格和正式落账时资格一致。C02 能源费用按全线时间窗口 0/1/多匹配处理。C03 正式费用在归属/未归属间双向调整留历史，线路利润随之变化，公司总费用保持。C04 未归属有效费用进入公司总支出，公司利润不虚高且不重复扣减。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D01 仅当前有效参与司机可完成卸货；无磅单、错误 purpose、跨线路/他人附件均拒绝；上传成功卸货失败不产生假证据；纠错原图不覆盖。D02 INTERNAL 达标真/假、OUTSOURCED 不适用，达标率仅适用分母；未达标仍可卸货。D03 司机 API 不含单价、任何工资、收入、利润、达标及阈值，salary:mine 仍按本人与类型授权。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R01 新线路导入走正常状态机；历史线路导入直接 COMPLETED，不能再次发布/发车/转派/卸货，ImportTask/Row 与来源可追溯。R02 完成线列表及档案收入=有效重量×含税单价，支出=线路费用净额+所有有效参与工资；作废后线路经营退出，公司真实费用仍计。R03 只有 COMPLETED 可作废，原因与 UI 风险确认；恢复回 COMPLETED，历史与旧月结不变，新差异语义正确。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R04 月结 V1 后工资、重量、费用、归属和作废/恢复形成可解释 V2 差异，操作人/时间/原因可靠；审批费用业务摘要够用。R05 审批同岗位多步骤可按稳定 ID 返回指定合法前置步骤，非法目标拒绝，历史不覆盖。R06 audit_log 有真实转派、工资、费用归属、作废/恢复、重量及角色权限高风险动作的前后值。R07 并发重复请求、迁移回填、既有库和 V1～V8 空库均验收。</w:t>
      </w:r>
    </w:p>
    <w:p>
      <w:pPr>
        <w:pStyle w:val="ListBullet"/>
        <w:keepLines/>
      </w:pPr>
      <w:r>
        <w:t>A03 司机新账号测试：后台创建人填写初始密码时原子创建安全哈希 DRIVER User；已有合法 DRIVER User 直接关联且原密码不变；冲突手机号拒绝、重复请求不造孤儿；响应、Audit、日志无明文，重置流程保持有效。BIZ-1A 仅验证服务底座，页面/API 接入须待后续阶段验证。</w:t>
      </w:r>
    </w:p>
    <w:p>
      <w:pPr>
        <w:pStyle w:val="ListBullet"/>
        <w:keepLines/>
      </w:pPr>
      <w:r>
        <w:t>A04 外协首发布测试：真实车牌及初始工资均必填，0.00 合法；无需 vehicleId，公司 vehicle 查询/创建/绑定均不发生；客户端伪造司机类型不能改变由 Driver.driverType 决定的校验分支。正式首发布入口待后续阶段实现后执行。</w:t>
      </w:r>
    </w:p>
    <w:p>
      <w:pPr>
        <w:pStyle w:val="ListBullet"/>
        <w:keepLines/>
      </w:pPr>
      <w:r>
        <w:t>R08 BIZ-1R 最终验收：取同一批既有 Settlement Snapshot，在 V8 迁移前后逐字段及 hash 对比，确认旧快照内容不变。BIZ-1A 仅验证 V8 不修改 Settlement 表且原记录仍存在，此项为 NON-BLOCKING 待测，不可提前记 PASS。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以下为 V1.0 原始正文。与以上 V2 修订冲突的旧口径均已废弃。</w:t>
      </w:r>
    </w:p>
    <w:p>
      <w:r>
        <w:rPr>
          <w:b/>
          <w:sz w:val="48"/>
        </w:rPr>
        <w:t>测试与验收用例说明书</w:t>
      </w:r>
    </w:p>
    <w:p>
      <w:r>
        <w:t>V1.0</w:t>
        <w:br/>
        <w:t>核心业务、异常、权限、并发与财务验收</w:t>
        <w:br/>
        <w:t>需求基线：2026-09-04</w:t>
      </w:r>
    </w:p>
    <w:p>
      <w:r/>
    </w:p>
    <w:p>
      <w:pPr>
        <w:pStyle w:val="Heading1"/>
      </w:pPr>
      <w:r>
        <w:t>1. 验收原则</w:t>
      </w:r>
    </w:p>
    <w:p>
      <w:pPr>
        <w:pStyle w:val="ListBullet"/>
      </w:pPr>
      <w:r>
        <w:t>核心动作覆盖正常、非法状态、权限不足、重复提交。</w:t>
      </w:r>
    </w:p>
    <w:p>
      <w:pPr>
        <w:pStyle w:val="ListBullet"/>
      </w:pPr>
      <w:r>
        <w:t>金额、审批、历史、绑定变化必须验证审计记录。</w:t>
      </w:r>
    </w:p>
    <w:p>
      <w:pPr>
        <w:pStyle w:val="ListBullet"/>
      </w:pPr>
      <w:r>
        <w:t>导入验证预览与正式提交之间状态变化。</w:t>
      </w:r>
    </w:p>
    <w:p>
      <w:pPr>
        <w:pStyle w:val="Heading1"/>
      </w:pPr>
      <w:r>
        <w:t>2. 运输用例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编号</w:t>
            </w:r>
          </w:p>
        </w:tc>
        <w:tc>
          <w:tcPr>
            <w:tcW w:type="dxa" w:w="3286"/>
          </w:tcPr>
          <w:p>
            <w:r>
              <w:t>场景</w:t>
            </w:r>
          </w:p>
        </w:tc>
        <w:tc>
          <w:tcPr>
            <w:tcW w:type="dxa" w:w="3286"/>
          </w:tcPr>
          <w:p>
            <w:r>
              <w:t>预期</w:t>
            </w:r>
          </w:p>
        </w:tc>
      </w:tr>
      <w:tr>
        <w:tc>
          <w:tcPr>
            <w:tcW w:type="dxa" w:w="3286"/>
          </w:tcPr>
          <w:p>
            <w:r>
              <w:t>RT-001</w:t>
            </w:r>
          </w:p>
        </w:tc>
        <w:tc>
          <w:tcPr>
            <w:tcW w:type="dxa" w:w="3286"/>
          </w:tcPr>
          <w:p>
            <w:r>
              <w:t>司机有车，线路发布</w:t>
            </w:r>
          </w:p>
        </w:tc>
        <w:tc>
          <w:tcPr>
            <w:tcW w:type="dxa" w:w="3286"/>
          </w:tcPr>
          <w:p>
            <w:r>
              <w:t>成功并立即对司机可见</w:t>
            </w:r>
          </w:p>
        </w:tc>
      </w:tr>
      <w:tr>
        <w:tc>
          <w:tcPr>
            <w:tcW w:type="dxa" w:w="3286"/>
          </w:tcPr>
          <w:p>
            <w:r>
              <w:t>RT-002</w:t>
            </w:r>
          </w:p>
        </w:tc>
        <w:tc>
          <w:tcPr>
            <w:tcW w:type="dxa" w:w="3286"/>
          </w:tcPr>
          <w:p>
            <w:r>
              <w:t>司机无车发布</w:t>
            </w:r>
          </w:p>
        </w:tc>
        <w:tc>
          <w:tcPr>
            <w:tcW w:type="dxa" w:w="3286"/>
          </w:tcPr>
          <w:p>
            <w:r>
              <w:t>失败，明确提示先绑定车辆</w:t>
            </w:r>
          </w:p>
        </w:tc>
      </w:tr>
      <w:tr>
        <w:tc>
          <w:tcPr>
            <w:tcW w:type="dxa" w:w="3286"/>
          </w:tcPr>
          <w:p>
            <w:r>
              <w:t>RT-003</w:t>
            </w:r>
          </w:p>
        </w:tc>
        <w:tc>
          <w:tcPr>
            <w:tcW w:type="dxa" w:w="3286"/>
          </w:tcPr>
          <w:p>
            <w:r>
              <w:t>导入A司机+B车辆，但A当前绑定C</w:t>
            </w:r>
          </w:p>
        </w:tc>
        <w:tc>
          <w:tcPr>
            <w:tcW w:type="dxa" w:w="3286"/>
          </w:tcPr>
          <w:p>
            <w:r>
              <w:t>该行失败并显示B/C不匹配</w:t>
            </w:r>
          </w:p>
        </w:tc>
      </w:tr>
      <w:tr>
        <w:tc>
          <w:tcPr>
            <w:tcW w:type="dxa" w:w="3286"/>
          </w:tcPr>
          <w:p>
            <w:r>
              <w:t>RT-004</w:t>
            </w:r>
          </w:p>
        </w:tc>
        <w:tc>
          <w:tcPr>
            <w:tcW w:type="dxa" w:w="3286"/>
          </w:tcPr>
          <w:p>
            <w:r>
              <w:t>发车后解绑司机车辆</w:t>
            </w:r>
          </w:p>
        </w:tc>
        <w:tc>
          <w:tcPr>
            <w:tcW w:type="dxa" w:w="3286"/>
          </w:tcPr>
          <w:p>
            <w:r>
              <w:t>失败，运输锁</w:t>
            </w:r>
          </w:p>
        </w:tc>
      </w:tr>
      <w:tr>
        <w:tc>
          <w:tcPr>
            <w:tcW w:type="dxa" w:w="3286"/>
          </w:tcPr>
          <w:p>
            <w:r>
              <w:t>RT-005</w:t>
            </w:r>
          </w:p>
        </w:tc>
        <w:tc>
          <w:tcPr>
            <w:tcW w:type="dxa" w:w="3286"/>
          </w:tcPr>
          <w:p>
            <w:r>
              <w:t>发车后更换车挂</w:t>
            </w:r>
          </w:p>
        </w:tc>
        <w:tc>
          <w:tcPr>
            <w:tcW w:type="dxa" w:w="3286"/>
          </w:tcPr>
          <w:p>
            <w:r>
              <w:t>失败</w:t>
            </w:r>
          </w:p>
        </w:tc>
      </w:tr>
      <w:tr>
        <w:tc>
          <w:tcPr>
            <w:tcW w:type="dxa" w:w="3286"/>
          </w:tcPr>
          <w:p>
            <w:r>
              <w:t>RT-006</w:t>
            </w:r>
          </w:p>
        </w:tc>
        <w:tc>
          <w:tcPr>
            <w:tcW w:type="dxa" w:w="3286"/>
          </w:tcPr>
          <w:p>
            <w:r>
              <w:t>毛重≤皮重</w:t>
            </w:r>
          </w:p>
        </w:tc>
        <w:tc>
          <w:tcPr>
            <w:tcW w:type="dxa" w:w="3286"/>
          </w:tcPr>
          <w:p>
            <w:r>
              <w:t>禁止卸货</w:t>
            </w:r>
          </w:p>
        </w:tc>
      </w:tr>
      <w:tr>
        <w:tc>
          <w:tcPr>
            <w:tcW w:type="dxa" w:w="3286"/>
          </w:tcPr>
          <w:p>
            <w:r>
              <w:t>RT-007</w:t>
            </w:r>
          </w:p>
        </w:tc>
        <w:tc>
          <w:tcPr>
            <w:tcW w:type="dxa" w:w="3286"/>
          </w:tcPr>
          <w:p>
            <w:r>
              <w:t>载重不达标</w:t>
            </w:r>
          </w:p>
        </w:tc>
        <w:tc>
          <w:tcPr>
            <w:tcW w:type="dxa" w:w="3286"/>
          </w:tcPr>
          <w:p>
            <w:r>
              <w:t>标红但允许卸货</w:t>
            </w:r>
          </w:p>
        </w:tc>
      </w:tr>
      <w:tr>
        <w:tc>
          <w:tcPr>
            <w:tcW w:type="dxa" w:w="3286"/>
          </w:tcPr>
          <w:p>
            <w:r>
              <w:t>RT-008</w:t>
            </w:r>
          </w:p>
        </w:tc>
        <w:tc>
          <w:tcPr>
            <w:tcW w:type="dxa" w:w="3286"/>
          </w:tcPr>
          <w:p>
            <w:r>
              <w:t>卸货后司机修改重量</w:t>
            </w:r>
          </w:p>
        </w:tc>
        <w:tc>
          <w:tcPr>
            <w:tcW w:type="dxa" w:w="3286"/>
          </w:tcPr>
          <w:p>
            <w:r>
              <w:t>禁止</w:t>
            </w:r>
          </w:p>
        </w:tc>
      </w:tr>
      <w:tr>
        <w:tc>
          <w:tcPr>
            <w:tcW w:type="dxa" w:w="3286"/>
          </w:tcPr>
          <w:p>
            <w:r>
              <w:t>RT-009</w:t>
            </w:r>
          </w:p>
        </w:tc>
        <w:tc>
          <w:tcPr>
            <w:tcW w:type="dxa" w:w="3286"/>
          </w:tcPr>
          <w:p>
            <w:r>
              <w:t>授权人员重量调整</w:t>
            </w:r>
          </w:p>
        </w:tc>
        <w:tc>
          <w:tcPr>
            <w:tcW w:type="dxa" w:w="3286"/>
          </w:tcPr>
          <w:p>
            <w:r>
              <w:t>原因必填，重算收入利润，历史保留</w:t>
            </w:r>
          </w:p>
        </w:tc>
      </w:tr>
      <w:tr>
        <w:tc>
          <w:tcPr>
            <w:tcW w:type="dxa" w:w="3286"/>
          </w:tcPr>
          <w:p>
            <w:r>
              <w:t>RT-010</w:t>
            </w:r>
          </w:p>
        </w:tc>
        <w:tc>
          <w:tcPr>
            <w:tcW w:type="dxa" w:w="3286"/>
          </w:tcPr>
          <w:p>
            <w:r>
              <w:t>运输中取消</w:t>
            </w:r>
          </w:p>
        </w:tc>
        <w:tc>
          <w:tcPr>
            <w:tcW w:type="dxa" w:w="3286"/>
          </w:tcPr>
          <w:p>
            <w:r>
              <w:t>禁止，只允许作废</w:t>
            </w:r>
          </w:p>
        </w:tc>
      </w:tr>
      <w:tr>
        <w:tc>
          <w:tcPr>
            <w:tcW w:type="dxa" w:w="3286"/>
          </w:tcPr>
          <w:p>
            <w:r>
              <w:t>RT-011</w:t>
            </w:r>
          </w:p>
        </w:tc>
        <w:tc>
          <w:tcPr>
            <w:tcW w:type="dxa" w:w="3286"/>
          </w:tcPr>
          <w:p>
            <w:r>
              <w:t>作废后绑定一致重新启用</w:t>
            </w:r>
          </w:p>
        </w:tc>
        <w:tc>
          <w:tcPr>
            <w:tcW w:type="dxa" w:w="3286"/>
          </w:tcPr>
          <w:p>
            <w:r>
              <w:t>成功</w:t>
            </w:r>
          </w:p>
        </w:tc>
      </w:tr>
      <w:tr>
        <w:tc>
          <w:tcPr>
            <w:tcW w:type="dxa" w:w="3286"/>
          </w:tcPr>
          <w:p>
            <w:r>
              <w:t>RT-012</w:t>
            </w:r>
          </w:p>
        </w:tc>
        <w:tc>
          <w:tcPr>
            <w:tcW w:type="dxa" w:w="3286"/>
          </w:tcPr>
          <w:p>
            <w:r>
              <w:t>作废后绑定已变化</w:t>
            </w:r>
          </w:p>
        </w:tc>
        <w:tc>
          <w:tcPr>
            <w:tcW w:type="dxa" w:w="3286"/>
          </w:tcPr>
          <w:p>
            <w:r>
              <w:t>重新启用失败</w:t>
            </w:r>
          </w:p>
        </w:tc>
      </w:tr>
    </w:tbl>
    <w:p/>
    <w:p>
      <w:pPr>
        <w:pStyle w:val="Heading1"/>
      </w:pPr>
      <w:r>
        <w:t>3. 导入用例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编号</w:t>
            </w:r>
          </w:p>
        </w:tc>
        <w:tc>
          <w:tcPr>
            <w:tcW w:type="dxa" w:w="3286"/>
          </w:tcPr>
          <w:p>
            <w:r>
              <w:t>场景</w:t>
            </w:r>
          </w:p>
        </w:tc>
        <w:tc>
          <w:tcPr>
            <w:tcW w:type="dxa" w:w="3286"/>
          </w:tcPr>
          <w:p>
            <w:r>
              <w:t>预期</w:t>
            </w:r>
          </w:p>
        </w:tc>
      </w:tr>
      <w:tr>
        <w:tc>
          <w:tcPr>
            <w:tcW w:type="dxa" w:w="3286"/>
          </w:tcPr>
          <w:p>
            <w:r>
              <w:t>IM-001</w:t>
            </w:r>
          </w:p>
        </w:tc>
        <w:tc>
          <w:tcPr>
            <w:tcW w:type="dxa" w:w="3286"/>
          </w:tcPr>
          <w:p>
            <w:r>
              <w:t>100条：90完整、5司机无车、5重复</w:t>
            </w:r>
          </w:p>
        </w:tc>
        <w:tc>
          <w:tcPr>
            <w:tcW w:type="dxa" w:w="3286"/>
          </w:tcPr>
          <w:p>
            <w:r>
              <w:t>90成功自动发布；5成功未发布；5失败</w:t>
            </w:r>
          </w:p>
        </w:tc>
      </w:tr>
      <w:tr>
        <w:tc>
          <w:tcPr>
            <w:tcW w:type="dxa" w:w="3286"/>
          </w:tcPr>
          <w:p>
            <w:r>
              <w:t>IM-002</w:t>
            </w:r>
          </w:p>
        </w:tc>
        <w:tc>
          <w:tcPr>
            <w:tcW w:type="dxa" w:w="3286"/>
          </w:tcPr>
          <w:p>
            <w:r>
              <w:t>同一数据再次上传</w:t>
            </w:r>
          </w:p>
        </w:tc>
        <w:tc>
          <w:tcPr>
            <w:tcW w:type="dxa" w:w="3286"/>
          </w:tcPr>
          <w:p>
            <w:r>
              <w:t>重复行失败并提示已存在</w:t>
            </w:r>
          </w:p>
        </w:tc>
      </w:tr>
      <w:tr>
        <w:tc>
          <w:tcPr>
            <w:tcW w:type="dxa" w:w="3286"/>
          </w:tcPr>
          <w:p>
            <w:r>
              <w:t>IM-003</w:t>
            </w:r>
          </w:p>
        </w:tc>
        <w:tc>
          <w:tcPr>
            <w:tcW w:type="dxa" w:w="3286"/>
          </w:tcPr>
          <w:p>
            <w:r>
              <w:t>预览后绑定变化</w:t>
            </w:r>
          </w:p>
        </w:tc>
        <w:tc>
          <w:tcPr>
            <w:tcW w:type="dxa" w:w="3286"/>
          </w:tcPr>
          <w:p>
            <w:r>
              <w:t>正式提交按最新状态重新校验</w:t>
            </w:r>
          </w:p>
        </w:tc>
      </w:tr>
      <w:tr>
        <w:tc>
          <w:tcPr>
            <w:tcW w:type="dxa" w:w="3286"/>
          </w:tcPr>
          <w:p>
            <w:r>
              <w:t>IM-004</w:t>
            </w:r>
          </w:p>
        </w:tc>
        <w:tc>
          <w:tcPr>
            <w:tcW w:type="dxa" w:w="3286"/>
          </w:tcPr>
          <w:p>
            <w:r>
              <w:t>部分行失败</w:t>
            </w:r>
          </w:p>
        </w:tc>
        <w:tc>
          <w:tcPr>
            <w:tcW w:type="dxa" w:w="3286"/>
          </w:tcPr>
          <w:p>
            <w:r>
              <w:t>合法行正常入库</w:t>
            </w:r>
          </w:p>
        </w:tc>
      </w:tr>
    </w:tbl>
    <w:p/>
    <w:p>
      <w:pPr>
        <w:pStyle w:val="Heading1"/>
      </w:pPr>
      <w:r>
        <w:t>4. 审批用例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编号</w:t>
            </w:r>
          </w:p>
        </w:tc>
        <w:tc>
          <w:tcPr>
            <w:tcW w:type="dxa" w:w="3286"/>
          </w:tcPr>
          <w:p>
            <w:r>
              <w:t>场景</w:t>
            </w:r>
          </w:p>
        </w:tc>
        <w:tc>
          <w:tcPr>
            <w:tcW w:type="dxa" w:w="3286"/>
          </w:tcPr>
          <w:p>
            <w:r>
              <w:t>预期</w:t>
            </w:r>
          </w:p>
        </w:tc>
      </w:tr>
      <w:tr>
        <w:tc>
          <w:tcPr>
            <w:tcW w:type="dxa" w:w="3286"/>
          </w:tcPr>
          <w:p>
            <w:r>
              <w:t>AP-001</w:t>
            </w:r>
          </w:p>
        </w:tc>
        <w:tc>
          <w:tcPr>
            <w:tcW w:type="dxa" w:w="3286"/>
          </w:tcPr>
          <w:p>
            <w:r>
              <w:t>A→B→C→D正常审批</w:t>
            </w:r>
          </w:p>
        </w:tc>
        <w:tc>
          <w:tcPr>
            <w:tcW w:type="dxa" w:w="3286"/>
          </w:tcPr>
          <w:p>
            <w:r>
              <w:t>依序完成，节点附件备注完整</w:t>
            </w:r>
          </w:p>
        </w:tc>
      </w:tr>
      <w:tr>
        <w:tc>
          <w:tcPr>
            <w:tcW w:type="dxa" w:w="3286"/>
          </w:tcPr>
          <w:p>
            <w:r>
              <w:t>AP-002</w:t>
            </w:r>
          </w:p>
        </w:tc>
        <w:tc>
          <w:tcPr>
            <w:tcW w:type="dxa" w:w="3286"/>
          </w:tcPr>
          <w:p>
            <w:r>
              <w:t>D打回B</w:t>
            </w:r>
          </w:p>
        </w:tc>
        <w:tc>
          <w:tcPr>
            <w:tcW w:type="dxa" w:w="3286"/>
          </w:tcPr>
          <w:p>
            <w:r>
              <w:t>重新B→C→D</w:t>
            </w:r>
          </w:p>
        </w:tc>
      </w:tr>
      <w:tr>
        <w:tc>
          <w:tcPr>
            <w:tcW w:type="dxa" w:w="3286"/>
          </w:tcPr>
          <w:p>
            <w:r>
              <w:t>AP-003</w:t>
            </w:r>
          </w:p>
        </w:tc>
        <w:tc>
          <w:tcPr>
            <w:tcW w:type="dxa" w:w="3286"/>
          </w:tcPr>
          <w:p>
            <w:r>
              <w:t>打回申请人修改重提</w:t>
            </w:r>
          </w:p>
        </w:tc>
        <w:tc>
          <w:tcPr>
            <w:tcW w:type="dxa" w:w="3286"/>
          </w:tcPr>
          <w:p>
            <w:r>
              <w:t>生成新版本，旧版本可查</w:t>
            </w:r>
          </w:p>
        </w:tc>
      </w:tr>
      <w:tr>
        <w:tc>
          <w:tcPr>
            <w:tcW w:type="dxa" w:w="3286"/>
          </w:tcPr>
          <w:p>
            <w:r>
              <w:t>AP-004</w:t>
            </w:r>
          </w:p>
        </w:tc>
        <w:tc>
          <w:tcPr>
            <w:tcW w:type="dxa" w:w="3286"/>
          </w:tcPr>
          <w:p>
            <w:r>
              <w:t>流程进入维护</w:t>
            </w:r>
          </w:p>
        </w:tc>
        <w:tc>
          <w:tcPr>
            <w:tcW w:type="dxa" w:w="3286"/>
          </w:tcPr>
          <w:p>
            <w:r>
              <w:t>立即禁止新申请</w:t>
            </w:r>
          </w:p>
        </w:tc>
      </w:tr>
      <w:tr>
        <w:tc>
          <w:tcPr>
            <w:tcW w:type="dxa" w:w="3286"/>
          </w:tcPr>
          <w:p>
            <w:r>
              <w:t>AP-005</w:t>
            </w:r>
          </w:p>
        </w:tc>
        <w:tc>
          <w:tcPr>
            <w:tcW w:type="dxa" w:w="3286"/>
          </w:tcPr>
          <w:p>
            <w:r>
              <w:t>维护时仍有在途审批</w:t>
            </w:r>
          </w:p>
        </w:tc>
        <w:tc>
          <w:tcPr>
            <w:tcW w:type="dxa" w:w="3286"/>
          </w:tcPr>
          <w:p>
            <w:r>
              <w:t>禁止修改流程</w:t>
            </w:r>
          </w:p>
        </w:tc>
      </w:tr>
      <w:tr>
        <w:tc>
          <w:tcPr>
            <w:tcW w:type="dxa" w:w="3286"/>
          </w:tcPr>
          <w:p>
            <w:r>
              <w:t>AP-006</w:t>
            </w:r>
          </w:p>
        </w:tc>
        <w:tc>
          <w:tcPr>
            <w:tcW w:type="dxa" w:w="3286"/>
          </w:tcPr>
          <w:p>
            <w:r>
              <w:t>非当前审批人调用审批接口</w:t>
            </w:r>
          </w:p>
        </w:tc>
        <w:tc>
          <w:tcPr>
            <w:tcW w:type="dxa" w:w="3286"/>
          </w:tcPr>
          <w:p>
            <w:r>
              <w:t>拒绝</w:t>
            </w:r>
          </w:p>
        </w:tc>
      </w:tr>
      <w:tr>
        <w:tc>
          <w:tcPr>
            <w:tcW w:type="dxa" w:w="3286"/>
          </w:tcPr>
          <w:p>
            <w:r>
              <w:t>AP-007</w:t>
            </w:r>
          </w:p>
        </w:tc>
        <w:tc>
          <w:tcPr>
            <w:tcW w:type="dxa" w:w="3286"/>
          </w:tcPr>
          <w:p>
            <w:r>
              <w:t>审批费用错误</w:t>
            </w:r>
          </w:p>
        </w:tc>
        <w:tc>
          <w:tcPr>
            <w:tcW w:type="dxa" w:w="3286"/>
          </w:tcPr>
          <w:p>
            <w:r>
              <w:t>冲销原费用并重新申请，原记录不改</w:t>
            </w:r>
          </w:p>
        </w:tc>
      </w:tr>
    </w:tbl>
    <w:p/>
    <w:p>
      <w:pPr>
        <w:pStyle w:val="Heading1"/>
      </w:pPr>
      <w:r>
        <w:t>5. 费用与报表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编号</w:t>
            </w:r>
          </w:p>
        </w:tc>
        <w:tc>
          <w:tcPr>
            <w:tcW w:type="dxa" w:w="3286"/>
          </w:tcPr>
          <w:p>
            <w:r>
              <w:t>场景</w:t>
            </w:r>
          </w:p>
        </w:tc>
        <w:tc>
          <w:tcPr>
            <w:tcW w:type="dxa" w:w="3286"/>
          </w:tcPr>
          <w:p>
            <w:r>
              <w:t>预期</w:t>
            </w:r>
          </w:p>
        </w:tc>
      </w:tr>
      <w:tr>
        <w:tc>
          <w:tcPr>
            <w:tcW w:type="dxa" w:w="3286"/>
          </w:tcPr>
          <w:p>
            <w:r>
              <w:t>FI-001</w:t>
            </w:r>
          </w:p>
        </w:tc>
        <w:tc>
          <w:tcPr>
            <w:tcW w:type="dxa" w:w="3286"/>
          </w:tcPr>
          <w:p>
            <w:r>
              <w:t>线路费用</w:t>
            </w:r>
          </w:p>
        </w:tc>
        <w:tc>
          <w:tcPr>
            <w:tcW w:type="dxa" w:w="3286"/>
          </w:tcPr>
          <w:p>
            <w:r>
              <w:t>车辆+线路必填，进入线路利润</w:t>
            </w:r>
          </w:p>
        </w:tc>
      </w:tr>
      <w:tr>
        <w:tc>
          <w:tcPr>
            <w:tcW w:type="dxa" w:w="3286"/>
          </w:tcPr>
          <w:p>
            <w:r>
              <w:t>FI-002</w:t>
            </w:r>
          </w:p>
        </w:tc>
        <w:tc>
          <w:tcPr>
            <w:tcW w:type="dxa" w:w="3286"/>
          </w:tcPr>
          <w:p>
            <w:r>
              <w:t>日常费用</w:t>
            </w:r>
          </w:p>
        </w:tc>
        <w:tc>
          <w:tcPr>
            <w:tcW w:type="dxa" w:w="3286"/>
          </w:tcPr>
          <w:p>
            <w:r>
              <w:t>车辆必填、线路为空、不分摊</w:t>
            </w:r>
          </w:p>
        </w:tc>
      </w:tr>
      <w:tr>
        <w:tc>
          <w:tcPr>
            <w:tcW w:type="dxa" w:w="3286"/>
          </w:tcPr>
          <w:p>
            <w:r>
              <w:t>FI-003</w:t>
            </w:r>
          </w:p>
        </w:tc>
        <w:tc>
          <w:tcPr>
            <w:tcW w:type="dxa" w:w="3286"/>
          </w:tcPr>
          <w:p>
            <w:r>
              <w:t>能源订单处于发车卸货区间</w:t>
            </w:r>
          </w:p>
        </w:tc>
        <w:tc>
          <w:tcPr>
            <w:tcW w:type="dxa" w:w="3286"/>
          </w:tcPr>
          <w:p>
            <w:r>
              <w:t>自动匹配线路，可后改</w:t>
            </w:r>
          </w:p>
        </w:tc>
      </w:tr>
      <w:tr>
        <w:tc>
          <w:tcPr>
            <w:tcW w:type="dxa" w:w="3286"/>
          </w:tcPr>
          <w:p>
            <w:r>
              <w:t>FI-004</w:t>
            </w:r>
          </w:p>
        </w:tc>
        <w:tc>
          <w:tcPr>
            <w:tcW w:type="dxa" w:w="3286"/>
          </w:tcPr>
          <w:p>
            <w:r>
              <w:t>匹配线路后来作废</w:t>
            </w:r>
          </w:p>
        </w:tc>
        <w:tc>
          <w:tcPr>
            <w:tcW w:type="dxa" w:w="3286"/>
          </w:tcPr>
          <w:p>
            <w:r>
              <w:t>费用变待确认归属</w:t>
            </w:r>
          </w:p>
        </w:tc>
      </w:tr>
      <w:tr>
        <w:tc>
          <w:tcPr>
            <w:tcW w:type="dxa" w:w="3286"/>
          </w:tcPr>
          <w:p>
            <w:r>
              <w:t>FI-005</w:t>
            </w:r>
          </w:p>
        </w:tc>
        <w:tc>
          <w:tcPr>
            <w:tcW w:type="dxa" w:w="3286"/>
          </w:tcPr>
          <w:p>
            <w:r>
              <w:t>生成8月V1后补录8月维修</w:t>
            </w:r>
          </w:p>
        </w:tc>
        <w:tc>
          <w:tcPr>
            <w:tcW w:type="dxa" w:w="3286"/>
          </w:tcPr>
          <w:p>
            <w:r>
              <w:t>实时8月变化，V1不变</w:t>
            </w:r>
          </w:p>
        </w:tc>
      </w:tr>
      <w:tr>
        <w:tc>
          <w:tcPr>
            <w:tcW w:type="dxa" w:w="3286"/>
          </w:tcPr>
          <w:p>
            <w:r>
              <w:t>FI-006</w:t>
            </w:r>
          </w:p>
        </w:tc>
        <w:tc>
          <w:tcPr>
            <w:tcW w:type="dxa" w:w="3286"/>
          </w:tcPr>
          <w:p>
            <w:r>
              <w:t>生成V2</w:t>
            </w:r>
          </w:p>
        </w:tc>
        <w:tc>
          <w:tcPr>
            <w:tcW w:type="dxa" w:w="3286"/>
          </w:tcPr>
          <w:p>
            <w:r>
              <w:t>差异显示金额、利润影响、操作人、时间</w:t>
            </w:r>
          </w:p>
        </w:tc>
      </w:tr>
      <w:tr>
        <w:tc>
          <w:tcPr>
            <w:tcW w:type="dxa" w:w="3286"/>
          </w:tcPr>
          <w:p>
            <w:r>
              <w:t>FI-007</w:t>
            </w:r>
          </w:p>
        </w:tc>
        <w:tc>
          <w:tcPr>
            <w:tcW w:type="dxa" w:w="3286"/>
          </w:tcPr>
          <w:p>
            <w:r>
              <w:t>费用线路A改B</w:t>
            </w:r>
          </w:p>
        </w:tc>
        <w:tc>
          <w:tcPr>
            <w:tcW w:type="dxa" w:w="3286"/>
          </w:tcPr>
          <w:p>
            <w:r>
              <w:t>总利润不变，A/B线路利润变化并留差异</w:t>
            </w:r>
          </w:p>
        </w:tc>
      </w:tr>
    </w:tbl>
    <w:p/>
    <w:p>
      <w:pPr>
        <w:pStyle w:val="Heading1"/>
      </w:pPr>
      <w:r>
        <w:t>6. 轮胎/OCR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编号</w:t>
            </w:r>
          </w:p>
        </w:tc>
        <w:tc>
          <w:tcPr>
            <w:tcW w:type="dxa" w:w="3286"/>
          </w:tcPr>
          <w:p>
            <w:r>
              <w:t>场景</w:t>
            </w:r>
          </w:p>
        </w:tc>
        <w:tc>
          <w:tcPr>
            <w:tcW w:type="dxa" w:w="3286"/>
          </w:tcPr>
          <w:p>
            <w:r>
              <w:t>预期</w:t>
            </w:r>
          </w:p>
        </w:tc>
      </w:tr>
      <w:tr>
        <w:tc>
          <w:tcPr>
            <w:tcW w:type="dxa" w:w="3286"/>
          </w:tcPr>
          <w:p>
            <w:r>
              <w:t>TR-001</w:t>
            </w:r>
          </w:p>
        </w:tc>
        <w:tc>
          <w:tcPr>
            <w:tcW w:type="dxa" w:w="3286"/>
          </w:tcPr>
          <w:p>
            <w:r>
              <w:t>识别存在且可用胎号</w:t>
            </w:r>
          </w:p>
        </w:tc>
        <w:tc>
          <w:tcPr>
            <w:tcW w:type="dxa" w:w="3286"/>
          </w:tcPr>
          <w:p>
            <w:r>
              <w:t>允许确认并加入申请</w:t>
            </w:r>
          </w:p>
        </w:tc>
      </w:tr>
      <w:tr>
        <w:tc>
          <w:tcPr>
            <w:tcW w:type="dxa" w:w="3286"/>
          </w:tcPr>
          <w:p>
            <w:r>
              <w:t>TR-002</w:t>
            </w:r>
          </w:p>
        </w:tc>
        <w:tc>
          <w:tcPr>
            <w:tcW w:type="dxa" w:w="3286"/>
          </w:tcPr>
          <w:p>
            <w:r>
              <w:t>胎号不存在</w:t>
            </w:r>
          </w:p>
        </w:tc>
        <w:tc>
          <w:tcPr>
            <w:tcW w:type="dxa" w:w="3286"/>
          </w:tcPr>
          <w:p>
            <w:r>
              <w:t>阻止提交并提示</w:t>
            </w:r>
          </w:p>
        </w:tc>
      </w:tr>
      <w:tr>
        <w:tc>
          <w:tcPr>
            <w:tcW w:type="dxa" w:w="3286"/>
          </w:tcPr>
          <w:p>
            <w:r>
              <w:t>TR-003</w:t>
            </w:r>
          </w:p>
        </w:tc>
        <w:tc>
          <w:tcPr>
            <w:tcW w:type="dxa" w:w="3286"/>
          </w:tcPr>
          <w:p>
            <w:r>
              <w:t>同一轮胎已申领</w:t>
            </w:r>
          </w:p>
        </w:tc>
        <w:tc>
          <w:tcPr>
            <w:tcW w:type="dxa" w:w="3286"/>
          </w:tcPr>
          <w:p>
            <w:r>
              <w:t>禁止再次申请</w:t>
            </w:r>
          </w:p>
        </w:tc>
      </w:tr>
      <w:tr>
        <w:tc>
          <w:tcPr>
            <w:tcW w:type="dxa" w:w="3286"/>
          </w:tcPr>
          <w:p>
            <w:r>
              <w:t>TR-004</w:t>
            </w:r>
          </w:p>
        </w:tc>
        <w:tc>
          <w:tcPr>
            <w:tcW w:type="dxa" w:w="3286"/>
          </w:tcPr>
          <w:p>
            <w:r>
              <w:t>一次申请多条轮胎</w:t>
            </w:r>
          </w:p>
        </w:tc>
        <w:tc>
          <w:tcPr>
            <w:tcW w:type="dxa" w:w="3286"/>
          </w:tcPr>
          <w:p>
            <w:r>
              <w:t>全部逐条校验</w:t>
            </w:r>
          </w:p>
        </w:tc>
      </w:tr>
      <w:tr>
        <w:tc>
          <w:tcPr>
            <w:tcW w:type="dxa" w:w="3286"/>
          </w:tcPr>
          <w:p>
            <w:r>
              <w:t>TR-005</w:t>
            </w:r>
          </w:p>
        </w:tc>
        <w:tc>
          <w:tcPr>
            <w:tcW w:type="dxa" w:w="3286"/>
          </w:tcPr>
          <w:p>
            <w:r>
              <w:t>审批通过</w:t>
            </w:r>
          </w:p>
        </w:tc>
        <w:tc>
          <w:tcPr>
            <w:tcW w:type="dxa" w:w="3286"/>
          </w:tcPr>
          <w:p>
            <w:r>
              <w:t>绑定申领司机、车辆、装胎时间</w:t>
            </w:r>
          </w:p>
        </w:tc>
      </w:tr>
      <w:tr>
        <w:tc>
          <w:tcPr>
            <w:tcW w:type="dxa" w:w="3286"/>
          </w:tcPr>
          <w:p>
            <w:r>
              <w:t>TR-006</w:t>
            </w:r>
          </w:p>
        </w:tc>
        <w:tc>
          <w:tcPr>
            <w:tcW w:type="dxa" w:w="3286"/>
          </w:tcPr>
          <w:p>
            <w:r>
              <w:t>OCR记录</w:t>
            </w:r>
          </w:p>
        </w:tc>
        <w:tc>
          <w:tcPr>
            <w:tcW w:type="dxa" w:w="3286"/>
          </w:tcPr>
          <w:p>
            <w:r>
              <w:t>原图、机器结果、最终确认值均可追溯</w:t>
            </w:r>
          </w:p>
        </w:tc>
      </w:tr>
    </w:tbl>
    <w:p/>
    <w:p>
      <w:pPr>
        <w:pStyle w:val="Heading1"/>
      </w:pPr>
      <w:r>
        <w:t>7. 权限与账号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编号</w:t>
            </w:r>
          </w:p>
        </w:tc>
        <w:tc>
          <w:tcPr>
            <w:tcW w:type="dxa" w:w="3286"/>
          </w:tcPr>
          <w:p>
            <w:r>
              <w:t>场景</w:t>
            </w:r>
          </w:p>
        </w:tc>
        <w:tc>
          <w:tcPr>
            <w:tcW w:type="dxa" w:w="3286"/>
          </w:tcPr>
          <w:p>
            <w:r>
              <w:t>预期</w:t>
            </w:r>
          </w:p>
        </w:tc>
      </w:tr>
      <w:tr>
        <w:tc>
          <w:tcPr>
            <w:tcW w:type="dxa" w:w="3286"/>
          </w:tcPr>
          <w:p>
            <w:r>
              <w:t>AU-001</w:t>
            </w:r>
          </w:p>
        </w:tc>
        <w:tc>
          <w:tcPr>
            <w:tcW w:type="dxa" w:w="3286"/>
          </w:tcPr>
          <w:p>
            <w:r>
              <w:t>外协司机访问换胎</w:t>
            </w:r>
          </w:p>
        </w:tc>
        <w:tc>
          <w:tcPr>
            <w:tcW w:type="dxa" w:w="3286"/>
          </w:tcPr>
          <w:p>
            <w:r>
              <w:t>拒绝且不展示入口</w:t>
            </w:r>
          </w:p>
        </w:tc>
      </w:tr>
      <w:tr>
        <w:tc>
          <w:tcPr>
            <w:tcW w:type="dxa" w:w="3286"/>
          </w:tcPr>
          <w:p>
            <w:r>
              <w:t>AU-002</w:t>
            </w:r>
          </w:p>
        </w:tc>
        <w:tc>
          <w:tcPr>
            <w:tcW w:type="dxa" w:w="3286"/>
          </w:tcPr>
          <w:p>
            <w:r>
              <w:t>一个用户尝试分配第二角色</w:t>
            </w:r>
          </w:p>
        </w:tc>
        <w:tc>
          <w:tcPr>
            <w:tcW w:type="dxa" w:w="3286"/>
          </w:tcPr>
          <w:p>
            <w:r>
              <w:t>禁止</w:t>
            </w:r>
          </w:p>
        </w:tc>
      </w:tr>
      <w:tr>
        <w:tc>
          <w:tcPr>
            <w:tcW w:type="dxa" w:w="3286"/>
          </w:tcPr>
          <w:p>
            <w:r>
              <w:t>AU-003</w:t>
            </w:r>
          </w:p>
        </w:tc>
        <w:tc>
          <w:tcPr>
            <w:tcW w:type="dxa" w:w="3286"/>
          </w:tcPr>
          <w:p>
            <w:r>
              <w:t>无重量调整权限调用接口</w:t>
            </w:r>
          </w:p>
        </w:tc>
        <w:tc>
          <w:tcPr>
            <w:tcW w:type="dxa" w:w="3286"/>
          </w:tcPr>
          <w:p>
            <w:r>
              <w:t>拒绝</w:t>
            </w:r>
          </w:p>
        </w:tc>
      </w:tr>
      <w:tr>
        <w:tc>
          <w:tcPr>
            <w:tcW w:type="dxa" w:w="3286"/>
          </w:tcPr>
          <w:p>
            <w:r>
              <w:t>AU-004</w:t>
            </w:r>
          </w:p>
        </w:tc>
        <w:tc>
          <w:tcPr>
            <w:tcW w:type="dxa" w:w="3286"/>
          </w:tcPr>
          <w:p>
            <w:r>
              <w:t>管理员重置密码</w:t>
            </w:r>
          </w:p>
        </w:tc>
        <w:tc>
          <w:tcPr>
            <w:tcW w:type="dxa" w:w="3286"/>
          </w:tcPr>
          <w:p>
            <w:r>
              <w:t>旧密码失效，新密码可登录</w:t>
            </w:r>
          </w:p>
        </w:tc>
      </w:tr>
      <w:tr>
        <w:tc>
          <w:tcPr>
            <w:tcW w:type="dxa" w:w="3286"/>
          </w:tcPr>
          <w:p>
            <w:r>
              <w:t>AU-005</w:t>
            </w:r>
          </w:p>
        </w:tc>
        <w:tc>
          <w:tcPr>
            <w:tcW w:type="dxa" w:w="3286"/>
          </w:tcPr>
          <w:p>
            <w:r>
              <w:t>使用简单密码</w:t>
            </w:r>
          </w:p>
        </w:tc>
        <w:tc>
          <w:tcPr>
            <w:tcW w:type="dxa" w:w="3286"/>
          </w:tcPr>
          <w:p>
            <w:r>
              <w:t>不因复杂度不足被拒绝</w:t>
            </w:r>
          </w:p>
        </w:tc>
      </w:tr>
    </w:tbl>
    <w:p/>
    <w:p>
      <w:pPr>
        <w:pStyle w:val="Heading1"/>
      </w:pPr>
      <w:r>
        <w:t>8. 并发与幂等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编号</w:t>
            </w:r>
          </w:p>
        </w:tc>
        <w:tc>
          <w:tcPr>
            <w:tcW w:type="dxa" w:w="3286"/>
          </w:tcPr>
          <w:p>
            <w:r>
              <w:t>场景</w:t>
            </w:r>
          </w:p>
        </w:tc>
        <w:tc>
          <w:tcPr>
            <w:tcW w:type="dxa" w:w="3286"/>
          </w:tcPr>
          <w:p>
            <w:r>
              <w:t>预期</w:t>
            </w:r>
          </w:p>
        </w:tc>
      </w:tr>
      <w:tr>
        <w:tc>
          <w:tcPr>
            <w:tcW w:type="dxa" w:w="3286"/>
          </w:tcPr>
          <w:p>
            <w:r>
              <w:t>CC-001</w:t>
            </w:r>
          </w:p>
        </w:tc>
        <w:tc>
          <w:tcPr>
            <w:tcW w:type="dxa" w:w="3286"/>
          </w:tcPr>
          <w:p>
            <w:r>
              <w:t>连续点击发车两次</w:t>
            </w:r>
          </w:p>
        </w:tc>
        <w:tc>
          <w:tcPr>
            <w:tcW w:type="dxa" w:w="3286"/>
          </w:tcPr>
          <w:p>
            <w:r>
              <w:t>只产生一次发车事实</w:t>
            </w:r>
          </w:p>
        </w:tc>
      </w:tr>
      <w:tr>
        <w:tc>
          <w:tcPr>
            <w:tcW w:type="dxa" w:w="3286"/>
          </w:tcPr>
          <w:p>
            <w:r>
              <w:t>CC-002</w:t>
            </w:r>
          </w:p>
        </w:tc>
        <w:tc>
          <w:tcPr>
            <w:tcW w:type="dxa" w:w="3286"/>
          </w:tcPr>
          <w:p>
            <w:r>
              <w:t>两个管理员同时绑定同一车辆</w:t>
            </w:r>
          </w:p>
        </w:tc>
        <w:tc>
          <w:tcPr>
            <w:tcW w:type="dxa" w:w="3286"/>
          </w:tcPr>
          <w:p>
            <w:r>
              <w:t>仅一个成功</w:t>
            </w:r>
          </w:p>
        </w:tc>
      </w:tr>
      <w:tr>
        <w:tc>
          <w:tcPr>
            <w:tcW w:type="dxa" w:w="3286"/>
          </w:tcPr>
          <w:p>
            <w:r>
              <w:t>CC-003</w:t>
            </w:r>
          </w:p>
        </w:tc>
        <w:tc>
          <w:tcPr>
            <w:tcW w:type="dxa" w:w="3286"/>
          </w:tcPr>
          <w:p>
            <w:r>
              <w:t>同一轮胎并发申请</w:t>
            </w:r>
          </w:p>
        </w:tc>
        <w:tc>
          <w:tcPr>
            <w:tcW w:type="dxa" w:w="3286"/>
          </w:tcPr>
          <w:p>
            <w:r>
              <w:t>仅一个成功占用</w:t>
            </w:r>
          </w:p>
        </w:tc>
      </w:tr>
      <w:tr>
        <w:tc>
          <w:tcPr>
            <w:tcW w:type="dxa" w:w="3286"/>
          </w:tcPr>
          <w:p>
            <w:r>
              <w:t>CC-004</w:t>
            </w:r>
          </w:p>
        </w:tc>
        <w:tc>
          <w:tcPr>
            <w:tcW w:type="dxa" w:w="3286"/>
          </w:tcPr>
          <w:p>
            <w:r>
              <w:t>同一审批任务重复通过</w:t>
            </w:r>
          </w:p>
        </w:tc>
        <w:tc>
          <w:tcPr>
            <w:tcW w:type="dxa" w:w="3286"/>
          </w:tcPr>
          <w:p>
            <w:r>
              <w:t>第二次拒绝或幂等</w:t>
            </w:r>
          </w:p>
        </w:tc>
      </w:tr>
      <w:tr>
        <w:tc>
          <w:tcPr>
            <w:tcW w:type="dxa" w:w="3286"/>
          </w:tcPr>
          <w:p>
            <w:r>
              <w:t>CC-005</w:t>
            </w:r>
          </w:p>
        </w:tc>
        <w:tc>
          <w:tcPr>
            <w:tcW w:type="dxa" w:w="3286"/>
          </w:tcPr>
          <w:p>
            <w:r>
              <w:t>同一导入commit重复请求</w:t>
            </w:r>
          </w:p>
        </w:tc>
        <w:tc>
          <w:tcPr>
            <w:tcW w:type="dxa" w:w="3286"/>
          </w:tcPr>
          <w:p>
            <w:r>
              <w:t>不产生重复数据</w:t>
            </w:r>
          </w:p>
        </w:tc>
      </w:tr>
    </w:tbl>
    <w:p/>
    <w:p>
      <w:pPr>
        <w:pStyle w:val="Heading1"/>
      </w:pPr>
      <w:r>
        <w:t>9. 月度结算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编号</w:t>
            </w:r>
          </w:p>
        </w:tc>
        <w:tc>
          <w:tcPr>
            <w:tcW w:type="dxa" w:w="3286"/>
          </w:tcPr>
          <w:p>
            <w:r>
              <w:t>场景</w:t>
            </w:r>
          </w:p>
        </w:tc>
        <w:tc>
          <w:tcPr>
            <w:tcW w:type="dxa" w:w="3286"/>
          </w:tcPr>
          <w:p>
            <w:r>
              <w:t>预期</w:t>
            </w:r>
          </w:p>
        </w:tc>
      </w:tr>
      <w:tr>
        <w:tc>
          <w:tcPr>
            <w:tcW w:type="dxa" w:w="3286"/>
          </w:tcPr>
          <w:p>
            <w:r>
              <w:t>ST-001</w:t>
            </w:r>
          </w:p>
        </w:tc>
        <w:tc>
          <w:tcPr>
            <w:tcW w:type="dxa" w:w="3286"/>
          </w:tcPr>
          <w:p>
            <w:r>
              <w:t>生成V1</w:t>
            </w:r>
          </w:p>
        </w:tc>
        <w:tc>
          <w:tcPr>
            <w:tcW w:type="dxa" w:w="3286"/>
          </w:tcPr>
          <w:p>
            <w:r>
              <w:t>保存汇总和明细快照</w:t>
            </w:r>
          </w:p>
        </w:tc>
      </w:tr>
      <w:tr>
        <w:tc>
          <w:tcPr>
            <w:tcW w:type="dxa" w:w="3286"/>
          </w:tcPr>
          <w:p>
            <w:r>
              <w:t>ST-002</w:t>
            </w:r>
          </w:p>
        </w:tc>
        <w:tc>
          <w:tcPr>
            <w:tcW w:type="dxa" w:w="3286"/>
          </w:tcPr>
          <w:p>
            <w:r>
              <w:t>V1后修改历史重量</w:t>
            </w:r>
          </w:p>
        </w:tc>
        <w:tc>
          <w:tcPr>
            <w:tcW w:type="dxa" w:w="3286"/>
          </w:tcPr>
          <w:p>
            <w:r>
              <w:t>实时数据变化，V1不变</w:t>
            </w:r>
          </w:p>
        </w:tc>
      </w:tr>
      <w:tr>
        <w:tc>
          <w:tcPr>
            <w:tcW w:type="dxa" w:w="3286"/>
          </w:tcPr>
          <w:p>
            <w:r>
              <w:t>ST-003</w:t>
            </w:r>
          </w:p>
        </w:tc>
        <w:tc>
          <w:tcPr>
            <w:tcW w:type="dxa" w:w="3286"/>
          </w:tcPr>
          <w:p>
            <w:r>
              <w:t>生成V2</w:t>
            </w:r>
          </w:p>
        </w:tc>
        <w:tc>
          <w:tcPr>
            <w:tcW w:type="dxa" w:w="3286"/>
          </w:tcPr>
          <w:p>
            <w:r>
              <w:t>准确生成与V1差异</w:t>
            </w:r>
          </w:p>
        </w:tc>
      </w:tr>
      <w:tr>
        <w:tc>
          <w:tcPr>
            <w:tcW w:type="dxa" w:w="3286"/>
          </w:tcPr>
          <w:p>
            <w:r>
              <w:t>ST-004</w:t>
            </w:r>
          </w:p>
        </w:tc>
        <w:tc>
          <w:tcPr>
            <w:tcW w:type="dxa" w:w="3286"/>
          </w:tcPr>
          <w:p>
            <w:r>
              <w:t>归属变化但总金额不变</w:t>
            </w:r>
          </w:p>
        </w:tc>
        <w:tc>
          <w:tcPr>
            <w:tcW w:type="dxa" w:w="3286"/>
          </w:tcPr>
          <w:p>
            <w:r>
              <w:t>仍显示线路利润迁移</w:t>
            </w:r>
          </w:p>
        </w:tc>
      </w:tr>
      <w:tr>
        <w:tc>
          <w:tcPr>
            <w:tcW w:type="dxa" w:w="3286"/>
          </w:tcPr>
          <w:p>
            <w:r>
              <w:t>ST-005</w:t>
            </w:r>
          </w:p>
        </w:tc>
        <w:tc>
          <w:tcPr>
            <w:tcW w:type="dxa" w:w="3286"/>
          </w:tcPr>
          <w:p>
            <w:r>
              <w:t>司机工资未录入</w:t>
            </w:r>
          </w:p>
        </w:tc>
        <w:tc>
          <w:tcPr>
            <w:tcW w:type="dxa" w:w="3286"/>
          </w:tcPr>
          <w:p>
            <w:r>
              <w:t>利润按已知数据算并提示成本不完整</w:t>
            </w:r>
          </w:p>
        </w:tc>
      </w:tr>
    </w:tbl>
    <w:p/>
    <w:p>
      <w:pPr>
        <w:pStyle w:val="Heading1"/>
      </w:pPr>
      <w:r>
        <w:t>10. 验收完成标准</w:t>
      </w:r>
    </w:p>
    <w:p>
      <w:pPr>
        <w:pStyle w:val="ListBullet"/>
      </w:pPr>
      <w:r>
        <w:t>核心运输、审批、费用、导入、结算用例全部通过。</w:t>
      </w:r>
    </w:p>
    <w:p>
      <w:pPr>
        <w:pStyle w:val="ListBullet"/>
      </w:pPr>
      <w:r>
        <w:t>不存在仅靠前端隐藏即可绕过的权限或状态限制。</w:t>
      </w:r>
    </w:p>
    <w:p>
      <w:pPr>
        <w:pStyle w:val="ListBullet"/>
      </w:pPr>
      <w:r>
        <w:t>审批、费用、重量、绑定、结算历史可完整追溯。</w:t>
      </w:r>
    </w:p>
    <w:p>
      <w:pPr>
        <w:pStyle w:val="ListBullet"/>
      </w:pPr>
      <w:r>
        <w:t>重复请求、重复导入和关键并发场景不产生重复业务数据。</w:t>
      </w:r>
    </w:p>
    <w:p>
      <w:pPr>
        <w:pStyle w:val="ListBullet"/>
      </w:pPr>
      <w:r>
        <w:t>报表计算口径与需求规格一致，历史结算版本不可变。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