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车队经营管理系统权限矩阵与错误校验规则</w:t>
      </w:r>
    </w:p>
    <w:p>
      <w:r>
        <w:t>权限以“八域导航—页面权限—按钮操作权限”为唯一正式模型。后端功能注册表定义页面编码、业务名称、导航层级、按钮归属、只读数据范围和 API 关联；管理端及小程序从同一功能编码判断可见性，但前端不构成安全边界。页面权限只允许读取必要资料，写入必须同时具备所属页面及按钮权限。共享 API 在数据范围相同且安全时使用 OR 授权；敏感资料使用受限 DTO 或专用入口。未关联合法功能的受保护 API 默认拒绝。</w:t>
      </w:r>
      <w:r/>
    </w:p>
    <w:p>
      <w:pPr>
        <w:pStyle w:val="Heading1"/>
      </w:pPr>
      <w:r>
        <w:t>1 权限目录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业务域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查看权限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写入/导出权限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基础资料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PAGE_DRIVERS、PAGE_VEHICLES、PAGE_TRAILERS、PAGE_BINDING、PAGE_PRODUCTS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各页面下已注册的新增、编辑、绑定、解绑及密码重置按钮；页面查看不授予写入。</w:t>
            </w:r>
            <w:r/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模板与运输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PAGE_TEMPLATES、PAGE_ROUTES、PAGE_DISPATCH_INTERNAL、PAGE_DISPATCH_OUTSOURCED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各页面下的模板维护、取消、转派、发车、卸货、调整和导出按钮。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调度与导入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PAGE_DISPATCH、PAGE_TASK_IMPORTS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BUTTON_DISPATCH_PUBLISH、BUTTON_TASK_IMPORTS_SUBMIT；司机和车辆候选查询返回受限 DTO。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工资出勤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PAGE_SALARIES、PAGE_ATTENDANCE、PAGE_MINI_SALARY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工资核对、出勤及工资导出按钮；小程序仅可读取本人薪资。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审批与费用</w:t>
            </w:r>
          </w:p>
        </w:tc>
        <w:tc>
          <w:tcPr>
            <w:tcW w:type="dxa" w:w="3267"/>
            <w:vAlign w:val="center"/>
          </w:tcPr>
          <w:p>
            <w:r>
              <w:t>PAGE_APPROVALS_TODO、PAGE_APPROVALS_MINE、PAGE_APPROVALS_HISTORY、PAGE_APPROVALS_FLOWS、PAGE_EXPENSE_APPLY、PAGE_EXPENSE_LEDGER、PAGE_EXPENSE_UNASSIGNED、PAGE_CHARGING_IMPORTS、PAGE_CHARGING_COMPANIES</w:t>
            </w:r>
          </w:p>
        </w:tc>
        <w:tc>
          <w:tcPr>
            <w:tcW w:type="dxa" w:w="3267"/>
            <w:vAlign w:val="center"/>
          </w:tcPr>
          <w:p>
            <w:r>
              <w:t>审批通过、打回、撤回、模板维护、费用提交、冲销、归属、导出和充电导入按钮；审批另验冻结节点资格。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PAGE_TIRES、PAGE_TIRE_IMPORTS、PAGE_MINI_TIRE_REQUEST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轮胎维护、入库及司机换胎申请按钮；换胎审批使用审批中心按钮，不设轮胎专属审批权。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经营系统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PAGE_FINANCE_COMPANY、PAGE_FINANCE_TEMPLATES、PAGE_FINANCE_TASKS、PAGE_FINANCE_VEHICLES、PAGE_FINANCE_DRIVERS、PAGE_FINANCE_ENERGY、PAGE_SETTLEMENTS、PAGE_USERS、PAGE_ROLES、PAGE_AUDIT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结算版本生成、用户维护和角色授权按钮；经营与审计页面只读。</w:t>
            </w:r>
          </w:p>
        </w:tc>
      </w:tr>
    </w:tbl>
    <w:p/>
    <w:p>
      <w:r>
        <w:t>系统只保存页面和按钮功能编码，不配置逐接口权限。用户属于一个当前有效角色；服务端在登录和权限缓存重载时取得角色授权集合，正常请求只使用已加载的 API 映射和内存集合判断，不重复扫描注解或查询完整角色权限表。角色授权修改、用户或司机停用须使相关会话或缓存失效；失效后安全重载，不沿用已撤销授权。新增功能启动时同步定义但不自动扩大普通角色授权。审批仍额外校验冻结节点角色、可选指定审批人和动作权限；附件、审计及其它业务强校验保留。</w:t>
      </w:r>
      <w:r/>
      <w:r>
        <w:t xml:space="preserve"> 会话仅以令牌摘要持久化于 MySQL，内存只缓存当前会话和权限集合；角色授权提交后增加权限版本并安全重载，不撤销仍有效的登录 Token。停用账号、司机或角色、密码变更与主动退出必须撤销相应会话。缓存重载或数据库校验失败默认拒绝；关键写入在事务边界复核当前授权。</w:t>
      </w:r>
    </w:p>
    <w:p>
      <w:pPr/>
      <w:r>
        <w:t>角色权限编辑器按八域导航展示页面及按钮，名称使用业务语言，编码仅作辅助提示。搜索、展开、折叠、全选、半选和服务端回显均使用正式功能注册表。勾选按钮自动勾选所属页面；取消页面同步取消依赖按钮；保存前显示增减摘要。工作台待办概览不单独授权，审批卡要求审批待办页面与处理按钮，待归属费用卡要求对应页面与归属按钮。旧接口权限编码、已废弃的车辆删除和轮胎专属审批权限不得出现在目录、授权或运行鉴权中。 小程序单人派单页面 PAGE_MINI_DISPATCH；按钮 BUTTON_MINI_DISPATCH_PUBLISH、BUTTON_MINI_DISPATCH_TRANSFER、BUTTON_MINI_DISPATCH_CANCEL。页面控制入口、列表筛选和只读详情查询，司机账号禁止访问详情，按钮同时依赖页面；服务端沿用功能授权、事务内重验和当前会话权限刷新。仅授权非司机可使用，候选不暴露证件，既有业务接口权限不扩散。</w:t>
      </w:r>
      <w:r/>
      <w:r/>
      <w:r>
        <w:t xml:space="preserve"/>
      </w:r>
    </w:p>
    <w:p>
      <w:pPr/>
      <w:r>
        <w:t>司机管理页面 PAGE_DRIVERS 允许下载十列模板与只读预览；BUTTON_DRIVERS_IMPORT 仅允许正式整批确认，按钮必须依赖父页面权限。服务端仍按当前用户权限、字段和唯一性、绑定条件及事务状态校验，司机端和无权管理人员不能绕过页面调用导入 API。预览与审计不记录明文初始密码或完整敏感证件内容。</w:t>
      </w:r>
      <w:r>
        <w:t xml:space="preserve"> 停用司机仍需服务端校验未完成任务；校验通过后与状态更新、当前车辆解绑及历史记录同一事务提交。只读关联信息沿用司机、车辆、车挂页面既有数据范围，不新增授权编码。</w:t>
      </w:r>
    </w:p>
    <w:p>
      <w:pPr/>
      <w:r>
        <w:t>充电公司模板配置使用 PAGE_CHARGING_COMPANIES 与 BUTTON_CHARGING_COMPANIES_MANAGE；充电订单导入使用 PAGE_CHARGING_IMPORTS 与 BUTTON_CHARGING_IMPORTS_IMPORT。导入历史、原始文件和费用来源追溯继续按正式页面权限、本人或业务范围及附件 Purpose 校验，不配置逐接口权限。</w:t>
      </w:r>
    </w:p>
    <w:p>
      <w:pPr>
        <w:pStyle w:val="Heading1"/>
      </w:pPr>
      <w:r>
        <w:t>2 身份与对象范围矩阵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60"/>
        <w:gridCol w:w="1960"/>
        <w:gridCol w:w="1960"/>
        <w:gridCol w:w="1960"/>
        <w:gridCol w:w="1960"/>
      </w:tblGrid>
      <w:tr>
        <w:trPr>
          <w:cantSplit/>
          <w:tblHeader w:val="true"/>
        </w:trPr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能力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管理端有相应权限的人员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INTERNAL 当前司机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INTERNAL 历史司机</w:t>
            </w:r>
          </w:p>
        </w:tc>
        <w:tc>
          <w:tcPr>
            <w:tcW w:type="dxa" w:w="196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OUTSOURCED 当前司机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模板、任务与财务列表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依独立查看权限及业务范围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仅本人司机任务的脱敏视图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仅本人参与历史的脱敏视图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仅本人任务的脱敏视图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发车与卸货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只能按明确管理动作权限且受状态约束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当前参与、状态与绑定合格才可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当前参与且真实外协车牌/状态合格才可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转派、任务取消、金额/重量纠错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仅分别授权，原因/历史/并发必验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工资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PAGE_SALARIES/adjust/export 分离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本人薪资仅 PAGE_MINI_SALARY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仅本人正式工资单权限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不可查询本人或公司工资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费用申请与账簿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申请/台账/归属/冲销分别授权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符合模板与 BUTTON_EXPENSE_APPLY_SUBMIT 时可申请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无任务当前操作权；申请另按正式权限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全部禁止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换胎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Web 仅库存/入库/维护，无发起入口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BUTTON_MINI_TIRE_REQUEST_SUBMIT 且本人车辆/库存合格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不可发起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审批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按模板/实例/待办范围与动作权限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有正式处理权限且属于待办才可处理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同左但不由任务历史身份推导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不得借通知或深链获取额外审批能力</w:t>
            </w:r>
          </w:p>
        </w:tc>
      </w:tr>
      <w:tr>
        <w:trPr>
          <w:cantSplit/>
        </w:trPr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经营/月结/Audit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按 report/settlement/audit 权限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  <w:tc>
          <w:tcPr>
            <w:tcW w:type="dxa" w:w="196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不可</w:t>
            </w:r>
          </w:p>
        </w:tc>
      </w:tr>
    </w:tbl>
    <w:p/>
    <w:p>
      <w:r/>
      <w:r/>
      <w:r>
        <w:t>审批待办、通过和打回先验证页面及对应按钮权限，再验证当前用户有效、冻结 FlowVersion 的节点角色、可选指定审批人及合法状态。换胎与费用申请均使用统一审批流程；换胎发起使用 BUTTON_MINI_TIRE_REQUEST_SUBMIT。指定人员失效时节点保持待处理，不自动放开；打回原因必填；审批动作使用实际登录用户 ID 写入并返回其角色和手机号，不将申请人误当审批人。申请人只可查看、为每个保留胎号重新上传照片、核对胎号并重新提交本人被打回的换胎申请；我处理过的仅依据本人审批动作，不把提交动作计入。合法退回、重新提交、撤回和审批历史按正式规则保留。</w:t>
      </w:r>
      <w:r>
        <w:t xml:space="preserve"> 统一附件中心对 APPROVAL_APPLICATION 与 APPROVAL_ACTION 上传分别校验管理端或小程序对应申请、通过、打回按钮权限；临时上传只允许当前用户读取和绑定，已绑定图片按申请人、当前节点资格或合法历史查看范围授权。审批事务核验附件 Purpose、上传人、临时状态并绑定实际提交版本或动作；并发及幂等校验继续生效。</w:t>
      </w:r>
    </w:p>
    <w:p>
      <w:pPr>
        <w:pStyle w:val="Heading1"/>
      </w:pPr>
      <w:r>
        <w:t>3 强校验清单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01"/>
        <w:gridCol w:w="4901"/>
      </w:tblGrid>
      <w:tr>
        <w:trPr>
          <w:cantSplit/>
          <w:tblHeader w:val="true"/>
        </w:trPr>
        <w:tc>
          <w:tcPr>
            <w:tcW w:type="dxa" w:w="4901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8"/>
              </w:rPr>
              <w:t>操作</w:t>
            </w:r>
          </w:p>
        </w:tc>
        <w:tc>
          <w:tcPr>
            <w:tcW w:type="dxa" w:w="4901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8"/>
              </w:rPr>
              <w:t>服务端必须校验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调度批次确认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batch 权限、模板启用、已有司机、Driver.driverType、INTERNAL 绑定/车/挂资格、OUTSOURCED 每行真实车牌、实际金额非负、重复行、requestKey；任一失败整批回滚。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固定任务导入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模板版本/固定表头、行格式、引用存在、重复、权限、正式再校验与逐行结果；不自动建司机。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发车/卸货/转派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当前参与唯一、任务状态、绑定与运输锁、操作人本人或授权、版本和幂等；卸货毛&gt;皮且正式原始磅单至少一张。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任务金额/工资/重量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单价/信息费/工资非负，重量毛&gt;皮，原因必填，版本匹配；同额工资不写历史；原始磅单与纠错证据 Purpose 分离。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任务取消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仅 PUBLISHED 且从未实际发车、未进入转派链；原因必填，进入终态 CANCELLED；发车后、转派中、COMPLETED 全部拒绝。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费用申请/落账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applicationScope 不可变、TASK 仅单项且司机参与目标任务、DAILY 车/司机分别存在、外协拒绝、金额&gt;0、批次同大类、审批实例+itemNo 唯一、重复批准不重记。</w:t>
            </w:r>
            <w:r>
              <w:t xml:space="preserve"> DAILY 车挂号可空，填写时必须在当前未删除车挂资料中存在；Excel 预览、手工核对和最终提交均校验，不强制当前绑定或启用状态。电费/TEMP_ELECTRIC 仅 ELECTRIC 车，气费/TEMP_GAS 仅 GAS 车；创建与打回重提均逐项服务端强校验，不能依赖前端筛选。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费用归属/冲销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公司车与目标任务正式 INTERNAL 参与车匹配，否则硬拒绝；保留来源与前后历史；批准金额不得直接改，重复冲销拒绝。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审批配置/打回</w:t>
            </w:r>
          </w:p>
        </w:tc>
        <w:tc>
          <w:tcPr>
            <w:tcW w:type="dxa" w:w="4901"/>
            <w:vAlign w:val="center"/>
          </w:tcPr>
          <w:p>
            <w:r>
              <w:t>维护中禁发起、在途禁改冻结流程；目标 FlowNode ID 属合法候选，重走目标及后续；动作附件 owner/purpose 校验。 节点角色必选、指定人选填且必须属于该角色；撤回与审批处理互斥，已生效费用不可撤回。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轮胎入库/换胎</w:t>
            </w:r>
          </w:p>
        </w:tc>
        <w:tc>
          <w:tcPr>
            <w:tcW w:type="dxa" w:w="4901"/>
            <w:vAlign w:val="center"/>
          </w:tcPr>
          <w:p>
            <w:r>
              <w:t>固定四列入库；换胎批内胎号唯一、1～20 项、每项 OCR 原图和确认值归属本人；逐项区分胎号不存在、已申领、待审批及同批重复，任一失败不创建审批。提交时重验库存和 OCR 归属；审批通过整批原子申领，失败全批回滚；Web 无申请动作。</w:t>
            </w:r>
          </w:p>
        </w:tc>
      </w:tr>
      <w:tr>
        <w:trPr>
          <w:cantSplit/>
        </w:trPr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结算</w:t>
            </w:r>
          </w:p>
        </w:tc>
        <w:tc>
          <w:tcPr>
            <w:tcW w:type="dxa" w:w="4901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8"/>
              </w:rPr>
              <w:t>生成时完整业务快照、同月版本号唯一、旧版不可变、差异可解释；并发重复生成受唯一性保护。</w:t>
            </w:r>
          </w:p>
        </w:tc>
      </w:tr>
      <w:tr>
        <w:tc>
          <w:tcPr>
            <w:tcW w:type="dxa" w:w="4901"/>
          </w:tcPr>
          <w:p>
            <w:r>
              <w:t>车辆、车挂停用与绑定</w:t>
            </w:r>
          </w:p>
        </w:tc>
        <w:tc>
          <w:tcPr>
            <w:tcW w:type="dxa" w:w="4901"/>
          </w:tcPr>
          <w:p>
            <w:r>
              <w:t>绑定双方必须启用；停用前按当前参与人检查 PUBLISHED、IN_TRANSIT、TRANSFER_PENDING。车辆停用同时核查当前车挂，成功后同一事务解除司机和车挂绑定；车挂停用解除车辆绑定，历史均留存。</w:t>
            </w:r>
          </w:p>
        </w:tc>
      </w:tr>
    </w:tbl>
    <w:p/>
    <w:p>
      <w:pPr>
        <w:pStyle w:val="Heading1"/>
      </w:pPr>
      <w:r>
        <w:t>4 错误码与 HTTP 语义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50"/>
        <w:gridCol w:w="2450"/>
        <w:gridCol w:w="2450"/>
        <w:gridCol w:w="2450"/>
      </w:tblGrid>
      <w:tr>
        <w:trPr>
          <w:cantSplit/>
          <w:tblHeader w:val="true"/>
        </w:trPr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类别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HTTP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稳定码</w:t>
            </w:r>
          </w:p>
        </w:tc>
        <w:tc>
          <w:tcPr>
            <w:tcW w:type="dxa" w:w="2450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前端处理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未认证/Token 失效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401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AUTH_UNAUTHENTICATED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清理过期会话并引导重新登录，不显示“暂无数据”。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无权限或对象不属于本人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403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AUTH_FORBIDDEN、SCOPE_FORBIDDEN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明确无权限；不泄露受保护字段或文件地址。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对象不存在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404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RESOURCE_NOT_FOUND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显示不存在或已移除，不造空记录。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必填/格式/金额/文件行错误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422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VALIDATION_FAILED、IMPORT_ROW_INVALID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字段或行号附近展示中文原因，保留输入。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业务状态不允许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409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STATE_CONFLICT</w:t>
            </w:r>
            <w:r>
              <w:t>、VEHICLE_ACTIVE_TASKS、TRAILER_ACTIVE_TASKS、VEHICLE_DISABLED、TRAILER_DISABLED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展示当前状态与下一合法动作，刷新事实。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重复、版本冲突或已处理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409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DUPLICATE_REQUEST、VERSION_CONFLICT、ALREADY_PROCESSED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防重复提交；提供重新加载，不覆盖他人更新。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附件上传/读取失败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422/503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ATTACHMENT_INVALID、UPLOAD_FAILED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图片明确失败并可重试；业务提交失败不清已上传成功图片。</w:t>
            </w:r>
          </w:p>
        </w:tc>
      </w:tr>
      <w:tr>
        <w:trPr>
          <w:cantSplit/>
        </w:trPr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服务不可用/网络中断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500/503 或网络异常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INTERNAL_ERROR、SERVICE_UNAVAILABLE</w:t>
            </w:r>
          </w:p>
        </w:tc>
        <w:tc>
          <w:tcPr>
            <w:tcW w:type="dxa" w:w="2450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显示重试和 requestId；不得伪装空态或成功。</w:t>
            </w:r>
          </w:p>
        </w:tc>
      </w:tr>
    </w:tbl>
    <w:p/>
    <w:p>
      <w:r>
        <w:t>响应还应包含可定位字段/行错误和 requestId，但不返回 SQL、内部堆栈、密码、Token 或未经授权的业务字段。重复提交的幂等成功与真正重复业务行失败须区分；通知写入失败不改变已提交业务响应。</w:t>
      </w:r>
      <w:r>
        <w:t>requestId 仅用于服务端日志和内部追踪；管理端面向用户的错误弹窗不得展示请求编号、技术详情或复制编号入口。字段校验可在输入框旁提示，API 失败由统一弹窗以业务场景标题和准确业务原因提示，按钮为“确定”，且弹窗层级高于当前编辑弹窗。</w:t>
      </w:r>
    </w:p>
    <w:p>
      <w:pPr>
        <w:pStyle w:val="Heading1"/>
      </w:pPr>
      <w:r>
        <w:t>5 审计、隐私与并发</w:t>
      </w:r>
    </w:p>
    <w:p>
      <w:r>
        <w:t>关键动作记录 actor、对象、前后状态/金额/归属、原因、时间和 requestId：绑定、调度发布、发车/转派/卸货、重量与金额纠错、工资核定、费用批准/归属/冲销、审批打回、轮胎入库/申领/维护、权限和结算。Audit 不含明文密码、完整 Token、非必要个人敏感信息。司机任务响应在后端 DTO 层排除单价、信息费、任何参与工资、收入、总支出、利润、达标状态和阈值，附件预览按本人/权限二次校验。关键写入用数据库事务、唯一约束及 requestKey/expectedVersion；前端禁用按钮不代替这些边界。</w:t>
      </w:r>
      <w:r>
        <w:t xml:space="preserve"> 停用车辆或车挂与自动解绑共用事务；服务端阻止停用对象被重新绑定，并按当前任务状态拒绝有待发车或在途任务的停用请求。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