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时无合法账号则以后台填写的初始密码创建安全哈希 User，已有合法账号直接关联；系统用户维护不能绕过此流程分配 DRIVER。</w:t>
      </w:r>
      <w:r>
        <w:t>Driver 的身份证号与驾驶证号是两个独立必填且唯一的业务事实；出生日期从已校验的身份证号派生，年龄由出生日期和当前日期计算，不独立存储。</w:t>
      </w:r>
      <w:r>
        <w:t xml:space="preserve"> 登录会话是独立的 MySQL AuthSession，关联 User，仅保存 Token 摘要、WEB/MINI 终端、签发时间、到期时间和撤销时间，不保存 Token 明文。角色授权版本用于使所有终端的权限快照在授权事务提交后失效；普通资料修改不撤销会话。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是货物主数据；客户只在模板和任务中存中文名称。Vehicle 独立保存必填且唯一的行驶证号，与 Driver 驾驶证号无关联；外协司机没有公司车绑定，列表及详情显示“不适用”。 Driver 停用与任务发布/转派共用司机行锁；只计算其当前有效参与责任的未完成任务，不以历史参与或当前车辆绑定推断。认证在登录及已签发令牌使用时重验司机有效性。</w:t>
      </w:r>
    </w:p>
    <w:p>
      <w:pPr>
        <w:pStyle w:val="Heading1"/>
      </w:pPr>
      <w:r>
        <w:t>3 线路模板、任务、参与人</w:t>
      </w:r>
    </w:p>
    <w:p>
      <w:r>
        <w:t>RouteTemplate 1:N TransportTask。模板以 stableCode 唯一，含名称、中文客户、Product、起讫地和三项默认金额；启停仅影响未来生成。TransportTask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UNPUBLISHED→PUBLISHED→IN_TRANSIT→COMPLETED。转派使执行中任务进入 TRANSFER_PENDING，只有新 current Participant 实际发车才能回 IN_TRANSIT；最后 current Participant 才可卸货。从未实际发车且未进入转派执行链的 UNPUBLISHED/PUBLISHED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>
        <w:t>ApprovalTemplate 的 businessType 保留 EXPENSE、GENERAL、TIRE_REPLACEMENT；新建仅允许 EXPENSE 与 TIRE_REPLACEMENT，GENERAL 模板、版本和实例保留历史读取；模板 1:N FlowVersion，发布版本不可原地修改。ApprovalInstance 指向冻结 FlowVersion，含 N 个 SubmissionVersion、Task/Action 历史。ApprovalAction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保存有权限的人工修改。TireRequest 与 OcrRecord、原始图片及用户确认胎号关联；已申领胎号禁止再次申请。Web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r>
              <w:t>一实例冻结一流程版本；步骤 ID 与实例绑定，不随模板编辑变化。 冻结节点保存必选角色与可选指定人；每提交版本每节点只有一条共享待办，实际处理人记录于 ApprovalAction。申请人撤回保留原实例并终止待办，新申请另建实例。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司机端只查询本人参与的任务，司机 DTO 不返回价格、毛利、任何参与工资、收入、支出和结算字段；有本人薪资页面权限者另行查看本人薪资。外协司机不得获取内部费用、轮胎、工资和经营资料。系统以唯一功能注册表关联页面、按钮和 API，多页面共用只读 API 时仍须保持各页面的数据范围；完整司机证件等敏感资料只能通过司机管理的数据边界获取。审批节点资格、附件 Purpose 与审计校验不因页面或按钮授权而省略。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