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车队经营管理系统页面交互与状态设计</w:t>
      </w:r>
    </w:p>
    <w:p>
      <w:r>
        <w:t>本文件定义正式管理端和微信小程序页面。导航显示依据 /me.permissions，但所有动作仍由后端鉴权和状态校验。业务人员应能直接识别所在位置、当前任务、下一步、数据状态和危险动作后果；页面不得以永久平铺的调试表单代替正式流程。</w:t>
      </w:r>
    </w:p>
    <w:p>
      <w:pPr>
        <w:pStyle w:val="Heading1"/>
      </w:pPr>
      <w:r>
        <w:t>1 管理端全局框架</w:t>
      </w:r>
    </w:p>
    <w:p>
      <w:r>
        <w:t>左侧菜单严格按八个一级业务域组织：工作台、运输管理、车辆与人员、费用管理、审批中心、工资与考勤、经营与结算、系统设置。二级和三级明显区分缩进、字重和激活背景；调度工作台、车辆出勤、轮胎管理、经营、支出为可展开层级。“我的申请”是普通二级页面，整行点击进入本人申请记录；费用申请是费用管理下的独立入口。工作台的“待办概览”只展示“我的待审批”和“待归属费用”两张权限过滤的数量卡片；审批中心的“我的待办”展示正式审批列表，费用管理的“待归属费用”复用费用台账事实与归属操作。两类统计分别读取正式审批和费用 API。菜单按 /me.permissions 过滤，没有可访问叶子的父级隐藏；后端仍逐接口鉴权。侧栏菜单独立纵向滚动，系统标识与账号区固定；允许多个一级域同时展开。当前叶子高亮，父级保持展开，Breadcrumb 与 PageHeader 对应菜单层级；刷新、后退、前进和直接打开 URL 保持定位。</w:t>
      </w:r>
    </w:p>
    <w:p>
      <w:pPr/>
      <w:r>
        <w:t>系统设置→角色权限按后端唯一功能注册表和当前八域导航展示一级、二级、三级页面及其按钮操作。管理员只配置页面和按钮，编码仅作辅助说明；勾选按钮自动包含所属页面，取消页面同步取消依赖按钮。支持搜索、展开折叠、分组全选、半选、保存前增减确认及保存后服务端回显。导航、路由和按钮使用相同功能编码，直接访问无权路由显示无权状态。工作台“待办概览”不单独授权：同时具有审批待办页面及处理按钮时显示审批卡，同时具有待归属费用页面及归属按钮时显示费用卡；两者均无则隐藏菜单。小程序页面与按钮在相应业务域登记，管理人员与司机的数据范围由服务端校验。</w:t>
      </w:r>
      <w:r/>
    </w:p>
    <w:p>
      <w:r>
        <w:t>列表采用 PageHeader→FilterBar→必要汇总/异常→服务端分页 DataTable。金额右对齐，状态为统一中文 Tag，日期和重量格式一致，常用操作直显、低频操作入“更多”，危险操作二次确认。详情按摘要、业务 Tab、历史和局部操作组织；简单表单 Dialog，较多字段 Drawer，复杂业务独立页或 Step Form。每个输入有永久 Label、必填/帮助/错误信息；关系选择用可搜索选择器而非手输 ID。Loading、Empty、Error、无权限与上传失败独立展示。1920×1080 列表有效宽度约 1440–1520px；1366×768 可用，宽表仅容器局部滚动，不出现整页无意义横滚。</w:t>
      </w:r>
    </w:p>
    <w:p>
      <w:pPr>
        <w:pStyle w:val="Heading1"/>
      </w:pPr>
      <w:r>
        <w:t>2 正式管理端导航</w:t>
      </w:r>
    </w:p>
    <w:tbl>
      <w:tblPr>
        <w:tblStyle w:val="TableGrid"/>
        <w:tblW w:type="auto" w:w="0"/>
        <w:jc w:val="center"/>
        <w:tblLayout w:type="autofit"/>
        <w:tblLook w:firstColumn="1" w:firstRow="1" w:lastColumn="0" w:lastRow="0" w:noHBand="0" w:noVBand="1" w:val="04A0"/>
      </w:tblPr>
      <w:tblGrid>
        <w:gridCol w:w="3267"/>
        <w:gridCol w:w="3267"/>
        <w:gridCol w:w="3267"/>
      </w:tblGrid>
      <w:tr>
        <w:trPr>
          <w:cantSplit/>
          <w:tblHeader w:val="true"/>
        </w:trPr>
        <w:tc>
          <w:tcPr>
            <w:tcW w:type="dxa" w:w="3267"/>
            <w:vAlign w:val="center"/>
            <w:shd w:fill="E9F1EF"/>
          </w:tcPr>
          <w:p>
            <w:pPr>
              <w:spacing w:after="40" w:before="40"/>
            </w:pPr>
            <w:r>
              <w:rPr>
                <w:rFonts w:ascii="Microsoft YaHei" w:hAnsi="Microsoft YaHei"/>
                <w:b/>
                <w:sz w:val="16"/>
              </w:rPr>
              <w:t>一级业务域</w:t>
            </w:r>
          </w:p>
        </w:tc>
        <w:tc>
          <w:tcPr>
            <w:tcW w:type="dxa" w:w="3267"/>
            <w:vAlign w:val="center"/>
            <w:shd w:fill="E9F1EF"/>
          </w:tcPr>
          <w:p>
            <w:pPr>
              <w:spacing w:after="40" w:before="40"/>
            </w:pPr>
            <w:r>
              <w:rPr>
                <w:rFonts w:ascii="Microsoft YaHei" w:hAnsi="Microsoft YaHei"/>
                <w:b/>
                <w:sz w:val="16"/>
              </w:rPr>
              <w:t>二级/三级页面</w:t>
            </w:r>
          </w:p>
        </w:tc>
        <w:tc>
          <w:tcPr>
            <w:tcW w:type="dxa" w:w="3267"/>
            <w:vAlign w:val="center"/>
            <w:shd w:fill="E9F1EF"/>
          </w:tcPr>
          <w:p>
            <w:pPr>
              <w:spacing w:after="40" w:before="40"/>
            </w:pPr>
            <w:r>
              <w:rPr>
                <w:rFonts w:ascii="Microsoft YaHei" w:hAnsi="Microsoft YaHei"/>
                <w:b/>
                <w:sz w:val="16"/>
              </w:rPr>
              <w:t>页面职责与局部操作</w:t>
            </w:r>
          </w:p>
        </w:tc>
      </w:tr>
      <w:tr>
        <w:trPr>
          <w:cantSplit/>
        </w:trPr>
        <w:tc>
          <w:tcPr>
            <w:tcW w:type="dxa" w:w="3267"/>
            <w:vAlign w:val="center"/>
          </w:tcPr>
          <w:p>
            <w:pPr>
              <w:spacing w:after="40" w:before="40"/>
            </w:pPr>
            <w:r>
              <w:rPr>
                <w:rFonts w:ascii="Microsoft YaHei" w:hAnsi="Microsoft YaHei"/>
                <w:sz w:val="16"/>
              </w:rPr>
              <w:t>工作台</w:t>
            </w:r>
          </w:p>
        </w:tc>
        <w:tc>
          <w:tcPr>
            <w:tcW w:type="dxa" w:w="3267"/>
            <w:vAlign w:val="center"/>
          </w:tcPr>
          <w:p>
            <w:pPr>
              <w:spacing w:after="40" w:before="40"/>
            </w:pPr>
            <w:r>
              <w:rPr>
                <w:rFonts w:ascii="Microsoft YaHei" w:hAnsi="Microsoft YaHei"/>
                <w:sz w:val="16"/>
              </w:rPr>
              <w:t>经营概览；我的待办</w:t>
            </w:r>
          </w:p>
        </w:tc>
        <w:tc>
          <w:tcPr>
            <w:tcW w:type="dxa" w:w="3267"/>
            <w:vAlign w:val="center"/>
          </w:tcPr>
          <w:p>
            <w:pPr>
              <w:spacing w:after="40" w:before="40"/>
            </w:pPr>
            <w:r>
              <w:rPr>
                <w:rFonts w:ascii="Microsoft YaHei" w:hAnsi="Microsoft YaHei"/>
                <w:sz w:val="16"/>
              </w:rPr>
              <w:t>经营摘要与待办入口；“我的待办”与审批中心复用同一页面和数据。</w:t>
            </w:r>
          </w:p>
        </w:tc>
      </w:tr>
      <w:tr>
        <w:trPr>
          <w:cantSplit/>
        </w:trPr>
        <w:tc>
          <w:tcPr>
            <w:tcW w:type="dxa" w:w="3267"/>
            <w:vAlign w:val="center"/>
          </w:tcPr>
          <w:p>
            <w:pPr>
              <w:spacing w:after="40" w:before="40"/>
            </w:pPr>
            <w:r>
              <w:rPr>
                <w:rFonts w:ascii="Microsoft YaHei" w:hAnsi="Microsoft YaHei"/>
                <w:sz w:val="16"/>
              </w:rPr>
              <w:t>运输管理</w:t>
            </w:r>
          </w:p>
        </w:tc>
        <w:tc>
          <w:tcPr>
            <w:tcW w:type="dxa" w:w="3267"/>
            <w:vAlign w:val="center"/>
          </w:tcPr>
          <w:p>
            <w:pPr>
              <w:spacing w:after="40" w:before="40"/>
            </w:pPr>
            <w:r>
              <w:rPr>
                <w:rFonts w:ascii="Microsoft YaHei" w:hAnsi="Microsoft YaHei"/>
                <w:sz w:val="16"/>
              </w:rPr>
              <w:t>货物管理；线路模板；调度工作台→批量调度/任务导入/运输任务；车辆出勤→自有车辆/外协车辆</w:t>
            </w:r>
          </w:p>
        </w:tc>
        <w:tc>
          <w:tcPr>
            <w:tcW w:type="dxa" w:w="3267"/>
            <w:vAlign w:val="center"/>
          </w:tcPr>
          <w:p>
            <w:pPr>
              <w:spacing w:after="40" w:before="40"/>
            </w:pPr>
            <w:r>
              <w:rPr>
                <w:rFonts w:ascii="Microsoft YaHei" w:hAnsi="Microsoft YaHei"/>
                <w:sz w:val="16"/>
              </w:rPr>
              <w:t>调度创建、固定任务 Excel 与任务详情复用正式页面；任务导入历史只在任务导入页查看。 货物管理与线路模板分别按 PAGE_PRODUCTS / BUTTON_PRODUCTS_MANAGE 和 PAGE_TEMPLATES / BUTTON_TEMPLATES_MANAGE 控制菜单、操作与直达路由。</w:t>
            </w:r>
            <w:r/>
          </w:p>
        </w:tc>
      </w:tr>
      <w:tr>
        <w:trPr>
          <w:cantSplit/>
        </w:trPr>
        <w:tc>
          <w:tcPr>
            <w:tcW w:type="dxa" w:w="3267"/>
            <w:vAlign w:val="center"/>
          </w:tcPr>
          <w:p>
            <w:pPr>
              <w:spacing w:after="40" w:before="40"/>
            </w:pPr>
            <w:r>
              <w:rPr>
                <w:rFonts w:ascii="Microsoft YaHei" w:hAnsi="Microsoft YaHei"/>
                <w:sz w:val="16"/>
              </w:rPr>
              <w:t>车辆与人员</w:t>
            </w:r>
          </w:p>
        </w:tc>
        <w:tc>
          <w:tcPr>
            <w:tcW w:type="dxa" w:w="3267"/>
            <w:vAlign w:val="center"/>
          </w:tcPr>
          <w:p>
            <w:r>
              <w:t>司机管理；车辆管理；车挂管理；绑定关系；轮胎管理→轮胎库存/轮胎入库</w:t>
            </w:r>
          </w:p>
        </w:tc>
        <w:tc>
          <w:tcPr>
            <w:tcW w:type="dxa" w:w="3267"/>
            <w:vAlign w:val="center"/>
          </w:tcPr>
          <w:p>
            <w:r>
              <w:t>轮胎入库历史在入库页查看；Web 不发起换胎申请。司机新增/编辑分别录入必填身份证号与驾驶证号，出生日期及实际周岁即时只读派生；列表展示年龄，详情展示两证件及派生值。外协司机当前公司车显示“不适用”，不出现公司车绑定操作。车辆新增/编辑/列表/详情独立显示必填行驶证号。重复证件给出字段明确的中文提示，保存失败保留表单输入。 司机禁用若有当前责任的未完成任务，编辑弹窗保留输入并展示阻断数量；禁用后司机端会话不可继续操作。</w:t>
            </w:r>
          </w:p>
        </w:tc>
      </w:tr>
      <w:tr>
        <w:trPr>
          <w:cantSplit/>
        </w:trPr>
        <w:tc>
          <w:tcPr>
            <w:tcW w:type="dxa" w:w="3267"/>
            <w:vAlign w:val="center"/>
          </w:tcPr>
          <w:p>
            <w:pPr>
              <w:spacing w:after="40" w:before="40"/>
            </w:pPr>
            <w:r>
              <w:rPr>
                <w:rFonts w:ascii="Microsoft YaHei" w:hAnsi="Microsoft YaHei"/>
                <w:sz w:val="16"/>
              </w:rPr>
              <w:t>费用管理</w:t>
            </w:r>
          </w:p>
        </w:tc>
        <w:tc>
          <w:tcPr>
            <w:tcW w:type="dxa" w:w="3267"/>
            <w:vAlign w:val="center"/>
          </w:tcPr>
          <w:p>
            <w:pPr>
              <w:spacing w:after="40" w:before="40"/>
            </w:pPr>
            <w:r>
              <w:rPr>
                <w:rFonts w:ascii="Microsoft YaHei" w:hAnsi="Microsoft YaHei"/>
                <w:sz w:val="16"/>
              </w:rPr>
              <w:t>费用申请；费用台账；充电订单导入；充电公司模板配置</w:t>
            </w:r>
          </w:p>
        </w:tc>
        <w:tc>
          <w:tcPr>
            <w:tcW w:type="dxa" w:w="3267"/>
            <w:vAlign w:val="center"/>
          </w:tcPr>
          <w:p>
            <w:pPr>
              <w:spacing w:after="40" w:before="40"/>
            </w:pPr>
            <w:r>
              <w:rPr>
                <w:rFonts w:ascii="Microsoft YaHei" w:hAnsi="Microsoft YaHei"/>
                <w:sz w:val="16"/>
              </w:rPr>
              <w:t>费用申请经审批落账；在同一费用台账查看正式费用、来源、当前归属并调整归属；充电专项仅在人工确认后直接入账；车辆不匹配由服务端硬拒绝。</w:t>
            </w:r>
          </w:p>
        </w:tc>
      </w:tr>
      <w:tr>
        <w:trPr>
          <w:cantSplit/>
        </w:trPr>
        <w:tc>
          <w:tcPr>
            <w:tcW w:type="dxa" w:w="3267"/>
            <w:vAlign w:val="center"/>
          </w:tcPr>
          <w:p>
            <w:pPr>
              <w:spacing w:after="40" w:before="40"/>
            </w:pPr>
            <w:r>
              <w:rPr>
                <w:rFonts w:ascii="Microsoft YaHei" w:hAnsi="Microsoft YaHei"/>
                <w:sz w:val="16"/>
              </w:rPr>
              <w:t>审批中心</w:t>
            </w:r>
          </w:p>
        </w:tc>
        <w:tc>
          <w:tcPr>
            <w:tcW w:type="dxa" w:w="3267"/>
            <w:vAlign w:val="center"/>
          </w:tcPr>
          <w:p>
            <w:pPr>
              <w:spacing w:after="40" w:before="40"/>
            </w:pPr>
            <w:r>
              <w:rPr>
                <w:rFonts w:ascii="Microsoft YaHei" w:hAnsi="Microsoft YaHei"/>
                <w:sz w:val="16"/>
              </w:rPr>
              <w:t>我的待办；我的申请；审批记录；流程与模板配置</w:t>
            </w:r>
          </w:p>
        </w:tc>
        <w:tc>
          <w:tcPr>
            <w:tcW w:type="dxa" w:w="3267"/>
            <w:vAlign w:val="center"/>
          </w:tcPr>
          <w:p>
            <w:pPr>
              <w:spacing w:after="40" w:before="40"/>
            </w:pPr>
            <w:r>
              <w:rPr>
                <w:rFonts w:ascii="Microsoft YaHei" w:hAnsi="Microsoft YaHei"/>
                <w:sz w:val="16"/>
              </w:rPr>
              <w:t>“我的申请”是进入本人申请记录的二级页面；费用申请仅在费用管理；普通申请不设菜单，保留正式通用审批能力。</w:t>
            </w:r>
          </w:p>
        </w:tc>
      </w:tr>
      <w:tr>
        <w:trPr>
          <w:cantSplit/>
        </w:trPr>
        <w:tc>
          <w:tcPr>
            <w:tcW w:type="dxa" w:w="3267"/>
            <w:vAlign w:val="center"/>
          </w:tcPr>
          <w:p>
            <w:pPr>
              <w:spacing w:after="40" w:before="40"/>
            </w:pPr>
            <w:r>
              <w:rPr>
                <w:rFonts w:ascii="Microsoft YaHei" w:hAnsi="Microsoft YaHei"/>
                <w:sz w:val="16"/>
              </w:rPr>
              <w:t>工资与考勤</w:t>
            </w:r>
          </w:p>
        </w:tc>
        <w:tc>
          <w:tcPr>
            <w:tcW w:type="dxa" w:w="3267"/>
            <w:vAlign w:val="center"/>
          </w:tcPr>
          <w:p>
            <w:pPr>
              <w:spacing w:after="40" w:before="40"/>
            </w:pPr>
            <w:r>
              <w:rPr>
                <w:rFonts w:ascii="Microsoft YaHei" w:hAnsi="Microsoft YaHei"/>
                <w:sz w:val="16"/>
              </w:rPr>
              <w:t>司机出勤；工资台账；转派工资核对</w:t>
            </w:r>
          </w:p>
        </w:tc>
        <w:tc>
          <w:tcPr>
            <w:tcW w:type="dxa" w:w="3267"/>
            <w:vAlign w:val="center"/>
          </w:tcPr>
          <w:p>
            <w:pPr>
              <w:spacing w:after="40" w:before="40"/>
            </w:pPr>
            <w:r>
              <w:rPr>
                <w:rFonts w:ascii="Microsoft YaHei" w:hAnsi="Microsoft YaHei"/>
                <w:sz w:val="16"/>
              </w:rPr>
              <w:t>从 Participant 工资和实际发车事实读取，不另建工资或出勤事实。</w:t>
            </w:r>
          </w:p>
        </w:tc>
      </w:tr>
      <w:tr>
        <w:trPr>
          <w:cantSplit/>
        </w:trPr>
        <w:tc>
          <w:tcPr>
            <w:tcW w:type="dxa" w:w="3267"/>
            <w:vAlign w:val="center"/>
          </w:tcPr>
          <w:p>
            <w:pPr>
              <w:spacing w:after="40" w:before="40"/>
            </w:pPr>
            <w:r>
              <w:rPr>
                <w:rFonts w:ascii="Microsoft YaHei" w:hAnsi="Microsoft YaHei"/>
                <w:sz w:val="16"/>
              </w:rPr>
              <w:t>经营与结算</w:t>
            </w:r>
          </w:p>
        </w:tc>
        <w:tc>
          <w:tcPr>
            <w:tcW w:type="dxa" w:w="3267"/>
            <w:vAlign w:val="center"/>
          </w:tcPr>
          <w:p>
            <w:pPr>
              <w:spacing w:after="40" w:before="40"/>
            </w:pPr>
            <w:r>
              <w:rPr>
                <w:rFonts w:ascii="Microsoft YaHei" w:hAnsi="Microsoft YaHei"/>
                <w:sz w:val="16"/>
              </w:rPr>
              <w:t>经营→公司经营/线路模板经营/任务经营；支出→车辆支出/司机支出/能源费用；月度结算</w:t>
            </w:r>
          </w:p>
        </w:tc>
        <w:tc>
          <w:tcPr>
            <w:tcW w:type="dxa" w:w="3267"/>
            <w:vAlign w:val="center"/>
          </w:tcPr>
          <w:p>
            <w:pPr>
              <w:spacing w:after="40" w:before="40"/>
            </w:pPr>
            <w:r>
              <w:rPr>
                <w:rFonts w:ascii="Microsoft YaHei" w:hAnsi="Microsoft YaHei"/>
                <w:sz w:val="16"/>
              </w:rPr>
              <w:t>复用统一财务 API；月结历史只读，宽表局部滚动。</w:t>
            </w:r>
          </w:p>
        </w:tc>
      </w:tr>
      <w:tr>
        <w:tc>
          <w:tcPr>
            <w:tcW w:type="dxa" w:w="3267"/>
          </w:tcPr>
          <w:p>
            <w:r>
              <w:t>系统设置</w:t>
            </w:r>
          </w:p>
        </w:tc>
        <w:tc>
          <w:tcPr>
            <w:tcW w:type="dxa" w:w="3267"/>
          </w:tcPr>
          <w:p>
            <w:r>
              <w:t>用户管理；角色权限；操作日志</w:t>
            </w:r>
          </w:p>
        </w:tc>
        <w:tc>
          <w:tcPr>
            <w:tcW w:type="dxa" w:w="3267"/>
          </w:tcPr>
          <w:p>
            <w:r>
              <w:t>DRIVER User 不从系统用户页创建；审计显示中文动作并保留原始动作代码。</w:t>
            </w:r>
          </w:p>
        </w:tc>
      </w:tr>
    </w:tbl>
    <w:p/>
    <w:p>
      <w:r>
        <w:t>登录页在菜单外。Customer 主数据、线路模板 Excel、历史线路导入、Web 换胎申请、动态字段映射和单司机工资录入不设正式入口。</w:t>
      </w:r>
      <w:r>
        <w:t xml:space="preserve"> 管理端和小程序正常退出均调用 /auth/logout 撤销服务端会话，再清除本地凭据；接口失败仍清除本地凭据并提示服务端撤销未确认。角色授权变更后刷新 /me 不强制重新登录；账号、司机或角色停用及密码变更后的 401 引导重新登录。</w:t>
      </w:r>
    </w:p>
    <w:p>
      <w:pPr>
        <w:pStyle w:val="Heading1"/>
      </w:pPr>
      <w:r>
        <w:t>3 运输调度页面</w:t>
      </w:r>
    </w:p>
    <w:p>
      <w:r>
        <w:t>线路模板列表显示编号、名称、客户中文名、货物、起讫地、三项默认金额、启停、更新时间；新增/编辑用 Drawer，启停确认后刷新。运输任务列表显示任务号、业务日、模板、客户/货物、当前参与司机与车牌、状态、实际重量及有权限的经营摘要，按状态/日期/司机/模板搜索。详情概况突出状态、下一步及实际金额；参与与工资按 sequence 展示全历史，历史车牌不被当前绑定替换；重量与凭证显示原始卸货及每次纠错卡片、缩略图放大；费用列出来源属性和当前归属。仅从未实际发车且未进入转派链的任务显示“取消任务”，确认框写明终态与影响并要求原因；发车后、转派中及 COMPLETED 只可对具体错误事实进行授权纠错，不显示整任务作废/恢复按钮。</w:t>
      </w:r>
    </w:p>
    <w:p>
      <w:r>
        <w:t>调度工作台为业务日期、模板选择、多行待发布表格。选司机后带出 INTERNAL 当前车，OUTSOURCED 每行输入真实车牌；每行显示实际单价、信息费、工资和校验错误，同司机多行合法。可批量设值和复制昨日预填；确认页列出每行及总量、明确整批事务。任一行正式失败，保留草稿并定位错误，不展示部分成功任务；重复点击由按钮 Loading 与 requestKey 防重。</w:t>
      </w:r>
    </w:p>
    <w:p>
      <w:r>
        <w:t>任务导入只允许下载系统固定 Excel，按“上传→预览→错误修正→确认→逐行结果/历史”走；表头/版本不符、未知模板/司机、重复行要显示行号与中文原因。车辆出勤分别展示公司车或外协车牌×1～31 日实际发车次数、月合计；日期列只在表格内滚动，点击数字展开任务，导出沿用当前筛选。</w:t>
      </w:r>
    </w:p>
    <w:p>
      <w:pPr>
        <w:pStyle w:val="Heading1"/>
      </w:pPr>
      <w:r>
        <w:t>4 工资、费用与审批页面</w:t>
      </w:r>
    </w:p>
    <w:p>
      <w:r>
        <w:t>工资台账以月份、司机类型、司机、模板/任务、转派筛选，显示参与顺序、核定工资、任务工资合计和调整历史；转派工资核对按单任务展示全员，批量修改时原因必填、0.00 可输入、并发冲突保留未提交输入。司机出勤仅 INTERNAL，月表每日 0/1 与总天数，点日查看实际发车任务。</w:t>
      </w:r>
    </w:p>
    <w:p>
      <w:r>
        <w:t>费用申请第一步选 DAILY/TASK。DAILY 在同一费用大类下使用可编辑明细表，可手工新增多行，也可上传固定 Excel 将解析行加入表格；导入行和手工行均可在提交前修改、删除。Excel 只是填表工具，提交前核对最终 N 行与合计，一次发起一个审批实例。TASK 先选司机，再从该司机参与的任务中选择一条，随后填写单项费用。金额使用合适输入与字段错误，所有字段永久 Label；申请提交前显示属性、司机、车、目标任务/未归属、金额及明细摘要。外协司机不显示入口且 API 拒绝。</w:t>
      </w:r>
    </w:p>
    <w:p>
      <w:r>
        <w:t>费用台账按月份、类型、申请属性、当前归属、司机、公司车、来源与状态筛选，列示金额、审批/批次、冲销状态；详情同时展示“原申请属性”“当前任务归属”和变更时间线。费用台账详情中的归属操作选择目标任务时仅展示可匹配候选，公司车不匹配仍由服务端硬拒绝；解除/改变归属须原因和影响摘要。批准费用无直接编辑金额按钮，冲销后重新申请。</w:t>
      </w:r>
    </w:p>
    <w:p>
      <w:pPr/>
      <w:r>
        <w:t>费用管理包含“充电订单导入”和“充电公司模板配置”。充电订单导入历史在“充电订单导入”页面内查看；任务导入历史在“运输管理→调度工作台→任务导入”页面内查看；轮胎入库历史在“车辆与人员→轮胎管理→轮胎入库”页面内查看，不设统一“导入历史”菜单。模板页显示公司列表与当前映射；上传新样本自动识别第一工作表表头并清空四个选择，即使表头相同也必须重选；不上传新样本可调整现有映射，同名表头以列位置区分。导入页选择公司和原始 .xls/.xlsx，完整解析后只读展示订单、异常原始行号、正金额/零元数量及合计；零元明确标记“零元不入账”，异常阻止确认。确认后显示正常入账＋零元＋已存在重复＝有效订单的数量对账。页面内历史展示原文件、操作人、各类数量、金额和订单行号，按权限打开原文件。普通 DAILY Excel 只在“费用管理→费用申请”中辅助填表，导入行与手工行可混合编辑并经审批入账；TASK 只可单笔审批。除充电公司专项，不提供其它费用直接导入。</w:t>
      </w:r>
    </w:p>
    <w:p>
      <w:r>
        <w:t>审批中心依次为“我的待办”“我的申请”“审批记录”“流程与模板配置”。“我的申请”是普通二级页面，整行点击进入本人申请记录并查看状态；费用管理下的“费用申请”是唯一费用申请菜单入口，页面内选择 DAILY/TASK，不建立两套申请链。工作台“待办概览”的“我的待审批”卡片读取当前用户正式 TODO 总数，整卡进入审批中心“我的待办”；后者展示同源审批列表并进入现有审批实例详情。待归属费用卡片读取归属权限保护的全部有效未归属费用总数，整卡进入费用管理“待归属费用”。工作台不展示审批或费用明细列表。GENERAL 普通审批仅保留已有模板、实例、版本和历史读取；当前不提供新建模板或业务申请入口；待办与审批记录不显示重复发起按钮。换胎申请仍只由小程序发起。审批详情优先显示业务摘要、Submission 版本、状态、处理时间线和图片缩略图；处理人只能在正式合法候选中选打回步骤，不展示 nodeOrder 输入。流程配置按版本发布，在途限制与维护期禁发起用明确提示。 流程配置每步先选必填审批角色，再可选该角色下的指定审批人；角色待办由一人处理即完成，详情展示冻结角色、指定人和实际处理人。本人未生效申请的详情提供撤回操作，撤回后重新申请进入新的审批实例；已生效费用不显示撤回。 新建模板先选业务类型；费用申请显示当前有效费用大类下拉，换胎申请不显示费用大类。页面不要求填写业务名称或稳定编号；费用类别为空或加载失败须分别提示。审批节点按名称和角色、指定审批人及退回操作两行布局。 换胎审批仍在审批中心按冻结节点角色及可选指定人员显示待办和操作，管理员不因角色编码获得额外资格；换胎发起权限 BUTTON_MINI_TIRE_REQUEST_SUBMIT 与审批动作权限分开。</w:t>
      </w:r>
      <w:r/>
      <w:r/>
    </w:p>
    <w:p>
      <w:pPr>
        <w:pStyle w:val="Heading1"/>
      </w:pPr>
      <w:r>
        <w:t>5 轮胎、经营和月结页面</w:t>
      </w:r>
    </w:p>
    <w:p>
      <w:r>
        <w:t>轮胎入库只提供四列固定模板下载/上传/预览/正式提交/结果；库存页显示胎号、条码、描述、到货时间、状态与维护史。Web 人工维护有权限和原因、Audit；没有换胎发起按钮。经营看板第一视觉层为本月收入、支出、利润、趟次，年度降级；经营概览不混排待办；工作台待办概览按权限展示两张可点击卡片，不显示无权卡片。任务经营档案展示收入、信息费、参与工资、归属费用、总支出、利润及费用来源/现归属；模板经营按有效任务聚合。月结按月份→版本列表→只读版本事实→前版差异；V1 无前版差异时显示明确空态。</w:t>
      </w:r>
    </w:p>
    <w:p>
      <w:pPr>
        <w:pStyle w:val="Heading1"/>
      </w:pPr>
      <w:r>
        <w:t>6 微信小程序导航与高频流程</w:t>
      </w:r>
    </w:p>
    <w:p>
      <w:r>
        <w:t>小程序不缩小桌面表格。登录后首页顶部显示当前用户身份及站内通知；司机显示姓名、司机类型和当前真实车牌，今天的工作显示当前运输任务及下一步。非司机的今天的工作读取正式审批待办 API，仅展示本人当前有资格处理的审批任务与总数，点击进入审批中心处理；无审批处理权限时不请求待办数据，接口失败不能显示为零。自有司机可见入口由 /me.permissions 和 available templates 决定；外协只见真实可用的本人运输功能，不渲染禁用宫格充数。底部主操作区可单手点击，触控目标充足，户外环境避免小号灰字。</w:t>
      </w:r>
    </w:p>
    <w:p>
      <w:r>
        <w:t>“我的任务”按状态加载本人参与任务，显示客户/货物、起讫地、真实车牌与状态，不返回或显示价格、工资、经营或达标信息。任务详情显示“当前状态→下一步”；PUBLISHED 为当前司机“确认发车”，IN_TRANSIT 为“录入重量并卸货”，COMPLETED 为只读结果，TRANSFER_PENDING 的历史司机仅见“等待接手司机发车”而无无效按钮。发车确认明确起点和终点。卸货同页录毛重/皮重、自动净重，至少一张磅单；选图后上传进度、缩略图、放大、失败重试，上传中禁止提交。提交前有简洁摘要，成功后只读，弱网避免重复提交。</w:t>
      </w:r>
    </w:p>
    <w:p>
      <w:r>
        <w:t>自有司机的费用申请、审批中心、换胎、工资单与个人信息各按正式权限展示：费用先选 DAILY/TASK 和可用模板，换胎按拍照→OCR→确认胎号→匹配库存→提交，工资按月份→金额→明细阅读。外协不得以导航深链或通知绕过费用、工资、轮胎和经营权限。站内通知有无未读的视觉状态与已读动作，但通知失败不等于业务未完成。</w:t>
      </w:r>
    </w:p>
    <w:p>
      <w:pPr>
        <w:pStyle w:val="Heading1"/>
      </w:pPr>
      <w:r>
        <w:t>7 全局状态和安全反馈</w:t>
      </w:r>
    </w:p>
    <w:p>
      <w:r>
        <w:t>请求加载显示范围明确的 Loading，空数据用紧凑 Empty，失败用 Error 加重试，不得把 401/403/网络失败当空列表。写入中按钮禁重复点击，后端幂等兜底；字段级错误保留已输入内容，上传成功的图片在业务提交失败后不清空。危险操作说明对当前利润、参与人或库存的影响并二次确认；操作成功后刷新对应正式事实，不以乐观文案替代服务端状态。</w:t>
      </w:r>
      <w:r>
        <w:t>字段必填与格式错误在输入框附近提示；API 失败统一使用高于当前编辑弹窗的错误弹窗。弹窗标题写明业务场景，例如“登录失败”“保存失败”“权限不足”，正文仅展示准确易懂的业务原因，操作按钮统一为“确定”。弹窗不展示请求编号、技术详情或复制编号入口，使用统一的状态图标、字号和紧凑间距。</w:t>
      </w:r>
    </w:p>
    <w:sectPr w:rsidR="00FC693F" w:rsidRPr="0006063C" w:rsidSect="00034616">
      <w:pgSz w:w="12240" w:h="15840"/>
      <w:pgMar w:top="1134" w:right="1219" w:bottom="1077"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7" w:lineRule="auto"/>
    </w:pPr>
    <w:rPr>
      <w:rFonts w:ascii="Microsoft YaHei" w:hAnsi="Microsoft YaHei" w:eastAsia="Microsoft YaHei"/>
      <w:b w:val="0"/>
      <w:color w:val="1A2A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Microsoft YaHei" w:hAnsi="Microsoft YaHei" w:eastAsia="Microsoft YaHei"/>
      <w:b/>
      <w:bCs/>
      <w:color w:val="1A2A2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1A2A2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A2A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icrosoft YaHei" w:hAnsi="Microsoft YaHei" w:eastAsia="Microsoft YaHei"/>
      <w:b w:val="0"/>
      <w:color w:val="1A2A2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