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关联已有合法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只关联，不改原密码；系统用户接口直接分配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九域导航顺序/层级/权限过滤正确；三级当前叶子、父级展开、面包屑及刷新/后退/前进同步；侧栏独立滚动；1920×1080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节点资格、附件权限、运输、费用、工资、轮胎和月结业务回归须通过。自动测试不代替人工 GUI 验收。</w:t>
      </w:r>
      <w:r/>
      <w:r>
        <w:t xml:space="preserve">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