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车队经营管理系统权限矩阵与错误校验规则</w:t>
      </w:r>
    </w:p>
    <w:p>
      <w:r>
        <w:t>权限按业务动作分配给角色，用户恰好一个角色。菜单权限只决定入口是否可见；每个 API 还必须校验登录身份、对象范围、当前参与权、任务/审批状态、并发版本和附件 Purpose。不得以角色名 ADMIN 或前端隐藏作为唯一安全边界。Driver.driverType 由服务端 Driver 记录决定，不接受客户端自称 INTERNAL/OUTSOURCED。</w:t>
      </w:r>
    </w:p>
    <w:p>
      <w:pPr>
        <w:pStyle w:val="Heading1"/>
      </w:pPr>
      <w:r>
        <w:t>1 权限目录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业务域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查看权限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写入/导出权限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基础资料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driver:view、vehicle:view、trailer:view、binding:view、product:view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driver:manage、vehicle:manage、trailer:manage、binding:manage、product:manage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模板与任务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template:view、task:view、task:participants:view、task:weight:view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template:manage、task:create、task:publish、task:cancel、task:transfer、task:depart、task:unload、task:weight:adjust、task:amount:adjust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调度与导入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dispatch:view、task:import:view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dispatch:batch、dispatch:export、task:import:submit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工资出勤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salary:view、attendance:view、dispatch:ledger:view、salary:mine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salary:adjust、salary:export、attendance:export、dispatch:ledger:export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审批与费用</w:t>
            </w:r>
          </w:p>
        </w:tc>
        <w:tc>
          <w:tcPr>
            <w:tcW w:type="dxa" w:w="3267"/>
            <w:vAlign w:val="center"/>
          </w:tcPr>
          <w:p>
            <w:r>
              <w:t>approval:view、approval:create、expense:apply、expense:ledger:view；charging:view</w:t>
            </w:r>
          </w:p>
        </w:tc>
        <w:tc>
          <w:tcPr>
            <w:tcW w:type="dxa" w:w="3267"/>
            <w:vAlign w:val="center"/>
          </w:tcPr>
          <w:p>
            <w:r>
              <w:t>approval:process、approval:return、approval:flow:manage、expense:attribution:edit、expense:reversal、expense:export、expense:import:submit；charging:company:manage；charging:import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轮胎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tire:view、tire:request:view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tire:import、tire:manage、tire:request:create、tire:request:process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经营系统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report:view、settlement:view、audit:view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report:export、settlement:generate、system:user:manage、system:role:manage</w:t>
            </w:r>
          </w:p>
        </w:tc>
      </w:tr>
    </w:tbl>
    <w:p/>
    <w:p>
      <w:r>
        <w:t>上述 code 为最终原子业务能力，角色授权由数据配置。API 按具体动作检查相应 code，查看与导出、查看与修改分离。单一 DRIVER 角色的权限还必须叠加司机类型和本人范围；不得因角色可配置而让外协获得公司财务能力。系统用户管理不得创建/分配 DRIVER，需走司机业务流程。</w:t>
      </w:r>
    </w:p>
    <w:p>
      <w:pPr/>
      <w:r>
        <w:t>充电公司专项原子权限：charging:company:manage 管理当前公司与字段映射；charging:import 确认订单正式导入；charging:view 查看历史、来源订单和下载原始文件。费用台账查看可追溯对应充电来源订单，但原始文件下载仍须 charging:view。所有接口拒绝 DRIVER，不因菜单隐藏而放宽；服务端对原文件、来源身份、金额、去重、车辆、候选任务和数量对账重新校验。</w:t>
      </w:r>
    </w:p>
    <w:p>
      <w:pPr>
        <w:pStyle w:val="Heading1"/>
      </w:pPr>
      <w:r>
        <w:t>2 身份与对象范围矩阵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cantSplit/>
          <w:tblHeader w:val="true"/>
        </w:trPr>
        <w:tc>
          <w:tcPr>
            <w:tcW w:type="dxa" w:w="196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能力</w:t>
            </w:r>
          </w:p>
        </w:tc>
        <w:tc>
          <w:tcPr>
            <w:tcW w:type="dxa" w:w="196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管理端有相应权限的人员</w:t>
            </w:r>
          </w:p>
        </w:tc>
        <w:tc>
          <w:tcPr>
            <w:tcW w:type="dxa" w:w="196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INTERNAL 当前司机</w:t>
            </w:r>
          </w:p>
        </w:tc>
        <w:tc>
          <w:tcPr>
            <w:tcW w:type="dxa" w:w="196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INTERNAL 历史司机</w:t>
            </w:r>
          </w:p>
        </w:tc>
        <w:tc>
          <w:tcPr>
            <w:tcW w:type="dxa" w:w="196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OUTSOURCED 当前司机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模板、任务与财务列表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依独立查看权限及业务范围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仅本人司机任务的脱敏视图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仅本人参与历史的脱敏视图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仅本人任务的脱敏视图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发车与卸货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只能按明确管理动作权限且受状态约束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当前参与、状态与绑定合格才可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当前参与且真实外协车牌/状态合格才可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转派、任务取消、金额/重量纠错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仅分别授权，原因/历史/并发必验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工资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salary:view/adjust/export 分离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本人薪资仅 salary:mine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仅本人正式工资单权限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不可查询本人或公司工资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费用申请与账簿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申请/台账/归属/冲销分别授权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符合模板与 expense:apply 时可申请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无任务当前操作权；申请另按正式权限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全部禁止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换胎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Web 仅库存/入库/维护，无发起入口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tire:request:create 且本人车辆/库存合格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不可发起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审批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按模板/实例/待办范围与动作权限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有正式处理权限且属于待办才可处理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同左但不由任务历史身份推导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不得借通知或深链获取额外审批能力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经营/月结/Audit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按 report/settlement/audit 权限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  <w:tc>
          <w:tcPr>
            <w:tcW w:type="dxa" w:w="19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</w:t>
            </w:r>
          </w:p>
        </w:tc>
      </w:tr>
    </w:tbl>
    <w:p/>
    <w:p>
      <w:r>
        <w:t>审批待办的当前操作人须与冻结 FlowVersion 的任务一致。指定步骤打回候选必须属于该实例已实际通过、允许返回、当前步骤之前的节点；targetFlowNodeId 必须在候选中，手填 nodeOrder 无效。历史任务或失效 Submission 的旧审批动作不得执行。</w:t>
      </w:r>
    </w:p>
    <w:p>
      <w:pPr>
        <w:pStyle w:val="Heading1"/>
      </w:pPr>
      <w:r>
        <w:t>3 强校验清单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4901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4901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8"/>
              </w:rPr>
              <w:t>服务端必须校验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调度批次确认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batch 权限、模板启用、已有司机、Driver.driverType、INTERNAL 绑定/车/挂资格、OUTSOURCED 每行真实车牌、实际金额非负、重复行、requestKey；任一失败整批回滚。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固定任务导入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模板版本/固定表头、行格式、引用存在、重复、权限、正式再校验与逐行结果；不自动建司机。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发车/卸货/转派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当前参与唯一、任务状态、绑定与运输锁、操作人本人或授权、版本和幂等；卸货毛&gt;皮且正式原始磅单至少一张。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任务金额/工资/重量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单价/信息费/工资非负，重量毛&gt;皮，原因必填，版本匹配；同额工资不写历史；原始磅单与纠错证据 Purpose 分离。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任务取消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仅 UNPUBLISHED/PUBLISHED 且从未实际发车、未进入转派链；原因必填，进入终态 CANCELLED；发车后、转派中、COMPLETED 全部拒绝。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费用申请/落账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applicationScope 不可变、TASK 仅单项且司机参与目标任务、DAILY 车/司机分别存在、外协拒绝、金额&gt;0、批次同大类、审批实例+itemNo 唯一、重复批准不重记。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费用归属/冲销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公司车与目标任务正式 INTERNAL 参与车匹配，否则硬拒绝；保留来源与前后历史；批准金额不得直接改，重复冲销拒绝。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审批配置/打回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维护中禁发起、在途禁改冻结流程；目标 FlowNode ID 属合法候选，重走目标及后续；动作附件 owner/purpose 校验。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轮胎入库/换胎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固定四列、胎号唯一、AVAILABLE 库存、原图/OCR/确认值保留、申领防重复；Web 无申请动作。</w:t>
            </w:r>
          </w:p>
        </w:tc>
      </w:tr>
      <w:tr>
        <w:trPr>
          <w:cantSplit/>
        </w:trPr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结算</w:t>
            </w:r>
          </w:p>
        </w:tc>
        <w:tc>
          <w:tcPr>
            <w:tcW w:type="dxa" w:w="49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8"/>
              </w:rPr>
              <w:t>生成时完整业务快照、同月版本号唯一、旧版不可变、差异可解释；并发重复生成受唯一性保护。</w:t>
            </w:r>
          </w:p>
        </w:tc>
      </w:tr>
    </w:tbl>
    <w:p/>
    <w:p>
      <w:pPr>
        <w:pStyle w:val="Heading1"/>
      </w:pPr>
      <w:r>
        <w:t>4 错误码与 HTTP 语义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cantSplit/>
          <w:tblHeader w:val="true"/>
        </w:trPr>
        <w:tc>
          <w:tcPr>
            <w:tcW w:type="dxa" w:w="245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类别</w:t>
            </w:r>
          </w:p>
        </w:tc>
        <w:tc>
          <w:tcPr>
            <w:tcW w:type="dxa" w:w="245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HTTP</w:t>
            </w:r>
          </w:p>
        </w:tc>
        <w:tc>
          <w:tcPr>
            <w:tcW w:type="dxa" w:w="245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稳定码</w:t>
            </w:r>
          </w:p>
        </w:tc>
        <w:tc>
          <w:tcPr>
            <w:tcW w:type="dxa" w:w="2450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前端处理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未认证/Token 失效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401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AUTH_UNAUTHENTICATED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清理过期会话并引导重新登录，不显示“暂无数据”。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无权限或对象不属于本人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403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AUTH_FORBIDDEN、SCOPE_FORBIDDEN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明确无权限；不泄露受保护字段或文件地址。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对象不存在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404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RESOURCE_NOT_FOUND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显示不存在或已移除，不造空记录。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必填/格式/金额/文件行错误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422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VALIDATION_FAILED、IMPORT_ROW_INVALID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字段或行号附近展示中文原因，保留输入。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业务状态不允许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409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STATE_CONFLICT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展示当前状态与下一合法动作，刷新事实。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重复、版本冲突或已处理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409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DUPLICATE_REQUEST、VERSION_CONFLICT、ALREADY_PROCESSED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防重复提交；提供重新加载，不覆盖他人更新。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附件上传/读取失败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422/503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ATTACHMENT_INVALID、UPLOAD_FAILED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图片明确失败并可重试；业务提交失败不清已上传成功图片。</w:t>
            </w:r>
          </w:p>
        </w:tc>
      </w:tr>
      <w:tr>
        <w:trPr>
          <w:cantSplit/>
        </w:trPr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服务不可用/网络中断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500/503 或网络异常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INTERNAL_ERROR、SERVICE_UNAVAILABLE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显示重试和 requestId；不得伪装空态或成功。</w:t>
            </w:r>
          </w:p>
        </w:tc>
      </w:tr>
    </w:tbl>
    <w:p/>
    <w:p>
      <w:r>
        <w:t>响应还应包含可定位字段/行错误和 requestId，但不返回 SQL、内部堆栈、密码、Token 或未经授权的业务字段。重复提交的幂等成功与真正重复业务行失败须区分；通知写入失败不改变已提交业务响应。</w:t>
      </w:r>
    </w:p>
    <w:p>
      <w:pPr>
        <w:pStyle w:val="Heading1"/>
      </w:pPr>
      <w:r>
        <w:t>5 审计、隐私与并发</w:t>
      </w:r>
    </w:p>
    <w:p>
      <w:r>
        <w:t>关键动作记录 actor、对象、前后状态/金额/归属、原因、时间和 requestId：绑定、调度发布、发车/转派/卸货、重量与金额纠错、工资核定、费用批准/归属/冲销、审批打回、轮胎入库/申领/维护、权限和结算。Audit 不含明文密码、完整 Token、非必要个人敏感信息。司机任务响应在后端 DTO 层排除单价、信息费、任何参与工资、收入、总支出、利润、达标状态和阈值，附件预览按本人/权限二次校验。关键写入用数据库事务、唯一约束及 requestKey/expectedVersion；前端禁用按钮不代替这些边界。</w:t>
      </w:r>
    </w:p>
    <w:sectPr w:rsidR="00FC693F" w:rsidRPr="0006063C" w:rsidSect="00034616">
      <w:pgSz w:w="12240" w:h="15840"/>
      <w:pgMar w:top="1134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Microsoft YaHei" w:hAnsi="Microsoft YaHei" w:eastAsia="Microsoft YaHei"/>
      <w:b w:val="0"/>
      <w:color w:val="1A2A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A2A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b w:val="0"/>
      <w:color w:val="1A2A2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