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关联已有合法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只关联，不改原密码；系统用户接口直接分配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唯一；默认金额/客户/货物/起讫地正确；停用阻新任务，已有任务快照不变。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无合格当前公司车、OUTSOURCED 无车牌或伪造公司车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正式发布拒绝相应行；后端按司机类型校验。外协工资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UNPUBLISHED/PUBLISHED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模板类型稳定；GENERAL 不落费用，轮胎按独立库存规则；在途流程不改，维护期禁新发起。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 打回指定已走 B、同审批人不同节点、非法/未来/其它版本目标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只返回本实例合法前置 FlowNode ID；非法目标拒绝；打回后 B 及后续重新走，旧结果不复用，Submission/Action 历史完整。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普通费用绝不自动匹配；专用来源仅批准后独立验收，精确车/秒级时间/金额/唯一 ID 完整且候选恰一条才绑定，0 或多条不猜。</w:t>
            </w:r>
          </w:p>
        </w:tc>
      </w:tr>
      <w:tr>
        <w:tc>
          <w:tcPr>
            <w:tcW w:type="dxa" w:w="3267"/>
          </w:tcPr>
          <w:p>
            <w:r>
              <w:t>CH-01</w:t>
            </w:r>
          </w:p>
        </w:tc>
        <w:tc>
          <w:tcPr>
            <w:tcW w:type="dxa" w:w="3267"/>
          </w:tcPr>
          <w:p>
            <w:r>
              <w:t>12 家充电公司 .xls/.xlsx 样本、表头修正、同名列位置、空行后订单、汇总行、只读预览</w:t>
            </w:r>
          </w:p>
        </w:tc>
        <w:tc>
          <w:tcPr>
            <w:tcW w:type="dxa" w:w="3267"/>
          </w:tcPr>
          <w:p>
            <w:r>
              <w:t>全部有效订单与原始行号可见；异常阻止确认；取消不保存文件或费用。</w:t>
            </w:r>
          </w:p>
        </w:tc>
      </w:tr>
      <w:tr>
        <w:tc>
          <w:tcPr>
            <w:tcW w:type="dxa" w:w="3267"/>
          </w:tcPr>
          <w:p>
            <w:r>
              <w:t>CH-02</w:t>
            </w:r>
          </w:p>
        </w:tc>
        <w:tc>
          <w:tcPr>
            <w:tcW w:type="dxa" w:w="3267"/>
          </w:tcPr>
          <w:p>
            <w:r>
              <w:t>零元订单、正金额、空/负/非法金额及重复文件/订单</w:t>
            </w:r>
          </w:p>
        </w:tc>
        <w:tc>
          <w:tcPr>
            <w:tcW w:type="dxa" w:w="3267"/>
          </w:tcPr>
          <w:p>
            <w:r>
              <w:t>零元 SourceOrder 唯一且可追溯文件，不生成 ExpenseEntry；正金额一笔费用；异常整批拒绝；数量分类互斥对账。</w:t>
            </w:r>
          </w:p>
        </w:tc>
      </w:tr>
      <w:tr>
        <w:tc>
          <w:tcPr>
            <w:tcW w:type="dxa" w:w="3267"/>
          </w:tcPr>
          <w:p>
            <w:r>
              <w:t>CH-03</w:t>
            </w:r>
          </w:p>
        </w:tc>
        <w:tc>
          <w:tcPr>
            <w:tcW w:type="dxa" w:w="3267"/>
          </w:tcPr>
          <w:p>
            <w:r>
              <w:t>跨公司同订单号、并发重复、唯一/无/多候选任务、原文件下载权限</w:t>
            </w:r>
          </w:p>
        </w:tc>
        <w:tc>
          <w:tcPr>
            <w:tcW w:type="dxa" w:w="3267"/>
          </w:tcPr>
          <w:p>
            <w:r>
              <w:t>来源三元组去重；唯一实际参与车辆与时间才自动归属，其他保持未归属；越权文件不可下载；公司费用和月结不重复。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小程序原图→OCR 原始结果→确认胎号→库存匹配→申请；申领防重。Web 可授权维护并留历史/Audit，不可发起换胎。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多层导航、PageHeader、业务可读列表/详情、明确危险动作；表单有永久 Label；宽表只局部滚动；Loading/Empty/Error 分开。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</w:tbl>
    <w:p/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