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sz w:val="21"/>
        </w:rPr>
        <w:t>V2 目标基线修订</w:t>
      </w:r>
    </w:p>
    <w:p>
      <w:r>
        <w:rPr>
          <w:rFonts w:ascii="Microsoft YaHei" w:hAnsi="Microsoft YaHei" w:eastAsia="Microsoft YaHei"/>
          <w:b/>
          <w:sz w:val="21"/>
        </w:rPr>
        <w:t>本修订依据 docs/15-R7-BIZ-1-V2-评审决策冻结记录.md，描述 BIZ-1A～1D 后续实施的目标规则。当前数据库和已上线 API 未在 BIZ-1P 阶段改变。本文原 V1.0 正文中与本修订或冻结记录冲突的断言已废弃，仅保留现行实现与历史追溯意义。</w:t>
      </w:r>
    </w:p>
    <w:p>
      <w:r>
        <w:rPr>
          <w:rFonts w:ascii="Microsoft YaHei" w:hAnsi="Microsoft YaHei" w:eastAsia="Microsoft YaHei"/>
          <w:b/>
          <w:sz w:val="21"/>
        </w:rPr>
        <w:t>目标设计和完整测试条目见 docs/16-R7-BIZ-1P-V2-目标设计与验收基线.md。出现冻结记录内部冲突必须停止实施并标记 DECISION REQUIRED。</w:t>
      </w:r>
    </w:p>
    <w:p>
      <w:pPr>
        <w:pStyle w:val="ListBullet"/>
      </w:pPr>
      <w:r>
        <w:rPr>
          <w:rFonts w:ascii="Microsoft YaHei" w:hAnsi="Microsoft YaHei" w:eastAsia="Microsoft YaHei"/>
          <w:b w:val="0"/>
          <w:sz w:val="21"/>
        </w:rPr>
        <w:t>Driver.driverType 是 INTERNAL/OUTSOURCED 的唯一业务来源，不能从 Role、绑定、工资或线路反推。DRIVER Role 只表示系统账号身份。系统管理不得创建或分配 DRIVER；司机业务流程创建或关联 User，并管控司机类型变更时的绑定、未完线路、工资和历史。</w:t>
      </w:r>
    </w:p>
    <w:p>
      <w:pPr>
        <w:pStyle w:val="ListBullet"/>
      </w:pPr>
      <w:r>
        <w:rPr>
          <w:rFonts w:ascii="Microsoft YaHei" w:hAnsi="Microsoft YaHei" w:eastAsia="Microsoft YaHei"/>
          <w:b w:val="0"/>
          <w:sz w:val="21"/>
        </w:rPr>
        <w:t>INTERNAL 使用公司 vehicle 和司机车辆绑定，发布、发车按既有公司车辆规则校验。OUTSOURCED 不绑定公司车辆，不创建 vehicle/FK，不要求 vehicleId；外协车牌仅是每条线路参与事实，不校验公司车辆存在、归属、保险、绑定或状态。</w:t>
      </w:r>
    </w:p>
    <w:p>
      <w:pPr>
        <w:pStyle w:val="ListBullet"/>
      </w:pPr>
      <w:r>
        <w:rPr>
          <w:rFonts w:ascii="Microsoft YaHei" w:hAnsi="Microsoft YaHei" w:eastAsia="Microsoft YaHei"/>
          <w:b w:val="0"/>
          <w:sz w:val="21"/>
        </w:rPr>
        <w:t>Route 有 N 条有序 Participant。每条记录保存司机及类型事实、INTERNAL 公司车或 OUTSOURCED 车牌、INITIAL/TRANSFER、指派/发车/结束时间、结束方式、转派原因和当前核定工资；任何一次转派不得覆盖前一参与事实。</w:t>
      </w:r>
    </w:p>
    <w:p>
      <w:pPr>
        <w:pStyle w:val="ListBullet"/>
      </w:pPr>
      <w:r>
        <w:rPr>
          <w:rFonts w:ascii="Microsoft YaHei" w:hAnsi="Microsoft YaHei" w:eastAsia="Microsoft YaHei"/>
          <w:b w:val="0"/>
          <w:sz w:val="21"/>
        </w:rPr>
        <w:t>初始司机即第一参与，初始工资即第一参与工资；外协初始发布必须有真实外协车牌及工资。普通未执行初始指派取消后，其工资和车辆费用资格不计入有效口径，历史仍保留。首次转派后，未发车再次换人也只能继续转派。转派封存上一参与、创建新当前参与，新司机重新发车；转派过程中不得作废，最终必须由当前司机卸货。</w:t>
      </w:r>
    </w:p>
    <w:p>
      <w:pPr>
        <w:pStyle w:val="ListBullet"/>
      </w:pPr>
      <w:r>
        <w:rPr>
          <w:rFonts w:ascii="Microsoft YaHei" w:hAnsi="Microsoft YaHei" w:eastAsia="Microsoft YaHei"/>
          <w:b w:val="0"/>
          <w:sz w:val="21"/>
        </w:rPr>
        <w:t>转派权限可在该动作中重核所有既有参与工资、填新司机工资、以原因留痕；工资可为 0.00，只有金额变化才记调整历史。非转派工资修改需要独立权限和原因。线路有效工资是所有纳入有效参与口径的当前核定工资之和。</w:t>
      </w:r>
    </w:p>
    <w:p>
      <w:pPr>
        <w:pStyle w:val="ListBullet"/>
      </w:pPr>
      <w:r>
        <w:rPr>
          <w:rFonts w:ascii="Microsoft YaHei" w:hAnsi="Microsoft YaHei" w:eastAsia="Microsoft YaHei"/>
          <w:b w:val="0"/>
          <w:sz w:val="21"/>
        </w:rPr>
        <w:t>所有正式 INTERNAL 参与公司车辆均具备该线路费用资格，和是否已点击发车、工资是否为零无关；外协车牌无公司线路费用资格。能源费用使用整条线路首次发车至最终卸货窗口，0/多匹配不猜，唯一匹配才自动归属。所有正式费用在授权下可重新归属，前后线路、操作人、时间、原因永久保留。</w:t>
      </w:r>
    </w:p>
    <w:p>
      <w:pPr>
        <w:pStyle w:val="ListBullet"/>
      </w:pPr>
      <w:r>
        <w:rPr>
          <w:rFonts w:ascii="Microsoft YaHei" w:hAnsi="Microsoft YaHei" w:eastAsia="Microsoft YaHei"/>
          <w:b w:val="0"/>
          <w:sz w:val="21"/>
        </w:rPr>
        <w:t>公司费用事实与线路归属分离。未归属有效费用不计单线路支出，但必须计入公司总支出；重新归属只改变线路间分布，不改变公司总费用。线路费用与日常费用仍按各自业务归属，日常费用不分摊线路。</w:t>
      </w:r>
    </w:p>
    <w:p>
      <w:pPr>
        <w:pStyle w:val="ListBullet"/>
      </w:pPr>
      <w:r>
        <w:rPr>
          <w:rFonts w:ascii="Microsoft YaHei" w:hAnsi="Microsoft YaHei" w:eastAsia="Microsoft YaHei"/>
          <w:b w:val="0"/>
          <w:sz w:val="21"/>
        </w:rPr>
        <w:t>只有当前有效参与司机可最终卸货，且必须有当前参与司机/车辆及至少一张合法磅单。磅单进入正式 Attachment 并绑定原始卸货/重量事实；后续重量纠错不覆盖原图。毛重必须大于皮重，净重系统计算，不达标仍允许卸货。</w:t>
      </w:r>
    </w:p>
    <w:p>
      <w:pPr>
        <w:pStyle w:val="ListBullet"/>
      </w:pPr>
      <w:r>
        <w:rPr>
          <w:rFonts w:ascii="Microsoft YaHei" w:hAnsi="Microsoft YaHei" w:eastAsia="Microsoft YaHei"/>
          <w:b w:val="0"/>
          <w:sz w:val="21"/>
        </w:rPr>
        <w:t>INTERNAL 达标为 TRUE/FALSE，OUTSOURCED 为 NULL/不适用；达标率分母仅含适用线路。司机线路列表/详情 API 不返回单价、任何参与工资、收入、利润、达标或阈值；本人正式工资单由 salary:mine 提供。</w:t>
      </w:r>
    </w:p>
    <w:p>
      <w:pPr>
        <w:pStyle w:val="ListBullet"/>
      </w:pPr>
      <w:r>
        <w:rPr>
          <w:rFonts w:ascii="Microsoft YaHei" w:hAnsi="Microsoft YaHei" w:eastAsia="Microsoft YaHei"/>
          <w:b w:val="0"/>
          <w:sz w:val="21"/>
        </w:rPr>
        <w:t>只有 COMPLETED 线路可作废，原因必填，UI 明确告知经营影响并要求勾选确认。作废后该线路收入、工资、归属线路费用和利润不再计入当前有效线路经营；全部事实和公司真实发生费用仍保留，公司总费用不因作废消失。VOIDED 恢复固定回 COMPLETED。</w:t>
      </w:r>
    </w:p>
    <w:p>
      <w:pPr>
        <w:pStyle w:val="ListBullet"/>
      </w:pPr>
      <w:r>
        <w:rPr>
          <w:rFonts w:ascii="Microsoft YaHei" w:hAnsi="Microsoft YaHei" w:eastAsia="Microsoft YaHei"/>
          <w:b w:val="0"/>
          <w:sz w:val="21"/>
        </w:rPr>
        <w:t>线路导入区分新线路导入与上线前已完成历史线路导入。历史导入带 HISTORICAL_IMPORT 来源、ImportTask/Row 追溯，进入 COMPLETED 历史经营与月结；不得再发布、发车、转派、卸货。历史模板待真实文件提供，不臆造字段。</w:t>
      </w:r>
    </w:p>
    <w:p>
      <w:pPr>
        <w:pStyle w:val="ListBullet"/>
      </w:pPr>
      <w:r>
        <w:rPr>
          <w:rFonts w:ascii="Microsoft YaHei" w:hAnsi="Microsoft YaHei" w:eastAsia="Microsoft YaHei"/>
          <w:b w:val="0"/>
          <w:sz w:val="21"/>
        </w:rPr>
        <w:t>已完成线路列表显示净重、达标/不适用、收入、总支出、利润；详情展示参与、转派、重量、原始磅单、工资与调整历史、正式费用及来源、支出构成和状态操作历史。金额按经营/财务权限控制。</w:t>
      </w:r>
    </w:p>
    <w:p>
      <w:pPr>
        <w:pStyle w:val="ListBullet"/>
      </w:pPr>
      <w:r>
        <w:rPr>
          <w:rFonts w:ascii="Microsoft YaHei" w:hAnsi="Microsoft YaHei" w:eastAsia="Microsoft YaHei"/>
          <w:b w:val="0"/>
          <w:sz w:val="21"/>
        </w:rPr>
        <w:t>月结旧快照永久不变，新版本说明工资、重量、费用新增/冲销与归属、线路作废/恢复的前后事实和金额影响；审批费用摘要只需发起日期、类型、金额、发起人、最终通过人、通过时间。</w:t>
      </w:r>
    </w:p>
    <w:p>
      <w:pPr>
        <w:pStyle w:val="ListBullet"/>
      </w:pPr>
      <w:r>
        <w:rPr>
          <w:rFonts w:ascii="Microsoft YaHei" w:hAnsi="Microsoft YaHei" w:eastAsia="Microsoft YaHei"/>
          <w:b w:val="0"/>
          <w:sz w:val="21"/>
        </w:rPr>
        <w:t>“打回指定节点”正式改称“打回指定步骤”：目标是冻结流程的稳定 Step/Node ID；只有当前实例实际合法前置步骤可返回时显示；同岗位/审批人重复需显示第 N 步，禁止用户手填序号，动作历史不可覆盖。</w:t>
      </w:r>
    </w:p>
    <w:p>
      <w:pPr>
        <w:pStyle w:val="ListBullet"/>
      </w:pPr>
      <w:r>
        <w:rPr>
          <w:rFonts w:ascii="Microsoft YaHei" w:hAnsi="Microsoft YaHei" w:eastAsia="Microsoft YaHei"/>
          <w:b w:val="0"/>
          <w:sz w:val="21"/>
        </w:rPr>
        <w:t>audit_log 目前只有查询能力。BIZ-1A 必须建立写入底座，后续记录转派、工资、作废/恢复、费用归属、重量和角色权限等高风险变化，专项历史表继续保留。</w:t>
      </w:r>
    </w:p>
    <w:p>
      <w:pPr>
        <w:pStyle w:val="Heading2"/>
      </w:pPr>
      <w:r>
        <w:rPr>
          <w:rFonts w:ascii="Microsoft YaHei" w:hAnsi="Microsoft YaHei" w:eastAsia="Microsoft YaHei"/>
          <w:b w:val="0"/>
          <w:sz w:val="21"/>
        </w:rPr>
        <w:t>以下为 V1.0 原始正文。与以上 V2 修订冲突的旧口径均已废弃。</w:t>
      </w:r>
    </w:p>
    <w:p>
      <w:pPr>
        <w:jc w:val="center"/>
      </w:pPr>
      <w:r>
        <w:rPr>
          <w:b/>
          <w:sz w:val="52"/>
        </w:rPr>
        <w:br/>
        <w:br/>
        <w:t>项目需求规格说明书</w:t>
      </w:r>
    </w:p>
    <w:p>
      <w:pPr>
        <w:jc w:val="center"/>
      </w:pPr>
      <w:r>
        <w:rPr>
          <w:b/>
          <w:sz w:val="40"/>
        </w:rPr>
        <w:t>V1.0</w:t>
      </w:r>
    </w:p>
    <w:p>
      <w:pPr>
        <w:jc w:val="center"/>
      </w:pPr>
      <w:r>
        <w:br/>
        <w:t>微信小程序 + 后端服务 + Web 管理端</w:t>
        <w:br/>
        <w:t>需求基线：2026-09-04</w:t>
        <w:br/>
        <w:t>状态：已确认需求基线</w:t>
      </w:r>
    </w:p>
    <w:p>
      <w:r>
        <w:br w:type="page"/>
      </w:r>
    </w:p>
    <w:p>
      <w:pPr>
        <w:pStyle w:val="Heading1"/>
      </w:pPr>
      <w:r>
        <w:t>1. 文档目的与范围</w:t>
      </w:r>
    </w:p>
    <w:p>
      <w:r>
        <w:t>本文档固化已确认业务需求，作为页面、数据库、API、权限、测试和验收的统一基线。除“暂定/后续扩展”外，均按V1.0实现。</w:t>
      </w:r>
    </w:p>
    <w:p>
      <w:pPr>
        <w:pStyle w:val="Heading1"/>
      </w:pPr>
      <w:r>
        <w:t>2. 系统范围</w:t>
      </w:r>
    </w:p>
    <w:tbl>
      <w:tblPr>
        <w:tblStyle w:val="TableGrid"/>
        <w:tblW w:type="auto" w:w="0"/>
        <w:tblLook w:firstColumn="1" w:firstRow="1" w:lastColumn="0" w:lastRow="0" w:noHBand="0" w:noVBand="1" w:val="04A0"/>
      </w:tblPr>
      <w:tblGrid>
        <w:gridCol w:w="4873"/>
        <w:gridCol w:w="4873"/>
      </w:tblGrid>
      <w:tr>
        <w:tc>
          <w:tcPr>
            <w:tcW w:type="dxa" w:w="4873"/>
          </w:tcPr>
          <w:p>
            <w:r>
              <w:t>端</w:t>
            </w:r>
          </w:p>
        </w:tc>
        <w:tc>
          <w:tcPr>
            <w:tcW w:type="dxa" w:w="4873"/>
          </w:tcPr>
          <w:p>
            <w:r>
              <w:t>职责</w:t>
            </w:r>
          </w:p>
        </w:tc>
      </w:tr>
      <w:tr>
        <w:tc>
          <w:tcPr>
            <w:tcW w:type="dxa" w:w="4873"/>
          </w:tcPr>
          <w:p>
            <w:r>
              <w:t>微信小程序</w:t>
            </w:r>
          </w:p>
        </w:tc>
        <w:tc>
          <w:tcPr>
            <w:tcW w:type="dxa" w:w="4873"/>
          </w:tcPr>
          <w:p>
            <w:r>
              <w:t>司机运输作业、个人/车辆信息、自有司机工资单和换胎；配置化角色可发起/查看/审批</w:t>
            </w:r>
          </w:p>
        </w:tc>
      </w:tr>
      <w:tr>
        <w:tc>
          <w:tcPr>
            <w:tcW w:type="dxa" w:w="4873"/>
          </w:tcPr>
          <w:p>
            <w:r>
              <w:t>后端</w:t>
            </w:r>
          </w:p>
        </w:tc>
        <w:tc>
          <w:tcPr>
            <w:tcW w:type="dxa" w:w="4873"/>
          </w:tcPr>
          <w:p>
            <w:r>
              <w:t>鉴权、业务、数据库、附件、OCR、审批、导入、报表、审计</w:t>
            </w:r>
          </w:p>
        </w:tc>
      </w:tr>
      <w:tr>
        <w:tc>
          <w:tcPr>
            <w:tcW w:type="dxa" w:w="4873"/>
          </w:tcPr>
          <w:p>
            <w:r>
              <w:t>管理端</w:t>
            </w:r>
          </w:p>
        </w:tc>
        <w:tc>
          <w:tcPr>
            <w:tcW w:type="dxa" w:w="4873"/>
          </w:tcPr>
          <w:p>
            <w:r>
              <w:t>基础资料、线路、费用、轮胎、审批、导入、报表、看板、账号角色权限</w:t>
            </w:r>
          </w:p>
        </w:tc>
      </w:tr>
    </w:tbl>
    <w:p/>
    <w:p>
      <w:pPr>
        <w:pStyle w:val="Heading1"/>
      </w:pPr>
      <w:r>
        <w:t>3. 账号、角色与权限</w:t>
      </w:r>
    </w:p>
    <w:p>
      <w:pPr>
        <w:pStyle w:val="ListBullet"/>
      </w:pPr>
      <w:r>
        <w:t>手机号+密码登录，不绑定微信账号；密码不做复杂度校验，服务端仅保存安全哈希。</w:t>
      </w:r>
    </w:p>
    <w:p>
      <w:pPr>
        <w:pStyle w:val="ListBullet"/>
      </w:pPr>
      <w:r>
        <w:t>管理员可创建/启停账号、重置密码；用户可修改密码。</w:t>
      </w:r>
    </w:p>
    <w:p>
      <w:pPr>
        <w:pStyle w:val="ListBullet"/>
      </w:pPr>
      <w:r>
        <w:t>一个用户只能一个角色；融合能力通过新增融合角色实现。</w:t>
      </w:r>
    </w:p>
    <w:p>
      <w:pPr>
        <w:pStyle w:val="ListBullet"/>
      </w:pPr>
      <w:r>
        <w:t>财务、高管等采用配置化角色；管理端支持菜单/按钮/API权限，小程序功能可配置。</w:t>
      </w:r>
    </w:p>
    <w:p>
      <w:pPr>
        <w:pStyle w:val="ListBullet"/>
      </w:pPr>
      <w:r>
        <w:t>外协司机仅可查看自己的线路、发车、填写毛重/皮重、卸货；不开放费用申请、换胎、工资单。</w:t>
      </w:r>
    </w:p>
    <w:p>
      <w:pPr>
        <w:pStyle w:val="ListBullet"/>
      </w:pPr>
      <w:r>
        <w:t>V1.0不做组织层级和部门数据权限。</w:t>
      </w:r>
    </w:p>
    <w:p>
      <w:pPr>
        <w:pStyle w:val="Heading1"/>
      </w:pPr>
      <w:r>
        <w:t>4. 基础资料与绑定</w:t>
      </w:r>
    </w:p>
    <w:tbl>
      <w:tblPr>
        <w:tblStyle w:val="TableGrid"/>
        <w:tblW w:type="auto" w:w="0"/>
        <w:tblLook w:firstColumn="1" w:firstRow="1" w:lastColumn="0" w:lastRow="0" w:noHBand="0" w:noVBand="1" w:val="04A0"/>
      </w:tblPr>
      <w:tblGrid>
        <w:gridCol w:w="4873"/>
        <w:gridCol w:w="4873"/>
      </w:tblGrid>
      <w:tr>
        <w:tc>
          <w:tcPr>
            <w:tcW w:type="dxa" w:w="4873"/>
          </w:tcPr>
          <w:p>
            <w:r>
              <w:t>对象</w:t>
            </w:r>
          </w:p>
        </w:tc>
        <w:tc>
          <w:tcPr>
            <w:tcW w:type="dxa" w:w="4873"/>
          </w:tcPr>
          <w:p>
            <w:r>
              <w:t>核心规则</w:t>
            </w:r>
          </w:p>
        </w:tc>
      </w:tr>
      <w:tr>
        <w:tc>
          <w:tcPr>
            <w:tcW w:type="dxa" w:w="4873"/>
          </w:tcPr>
          <w:p>
            <w:r>
              <w:t>车辆</w:t>
            </w:r>
          </w:p>
        </w:tc>
        <w:tc>
          <w:tcPr>
            <w:tcW w:type="dxa" w:w="4873"/>
          </w:tcPr>
          <w:p>
            <w:r>
              <w:t>车牌号、保险、能源类型、限载、达标方式/阈值；可无司机</w:t>
            </w:r>
          </w:p>
        </w:tc>
      </w:tr>
      <w:tr>
        <w:tc>
          <w:tcPr>
            <w:tcW w:type="dxa" w:w="4873"/>
          </w:tcPr>
          <w:p>
            <w:r>
              <w:t>车挂</w:t>
            </w:r>
          </w:p>
        </w:tc>
        <w:tc>
          <w:tcPr>
            <w:tcW w:type="dxa" w:w="4873"/>
          </w:tcPr>
          <w:p>
            <w:r>
              <w:t>车挂号、车牌号、保险；绑定车辆，可解绑，可无车辆</w:t>
            </w:r>
          </w:p>
        </w:tc>
      </w:tr>
      <w:tr>
        <w:tc>
          <w:tcPr>
            <w:tcW w:type="dxa" w:w="4873"/>
          </w:tcPr>
          <w:p>
            <w:r>
              <w:t>司机</w:t>
            </w:r>
          </w:p>
        </w:tc>
        <w:tc>
          <w:tcPr>
            <w:tcW w:type="dxa" w:w="4873"/>
          </w:tcPr>
          <w:p>
            <w:r>
              <w:t>自有/外协、姓名、电话、证件、出生年月、年龄；一个司机当前最多一辆车</w:t>
            </w:r>
          </w:p>
        </w:tc>
      </w:tr>
    </w:tbl>
    <w:p/>
    <w:p>
      <w:pPr>
        <w:pStyle w:val="ListBullet"/>
      </w:pPr>
      <w:r>
        <w:t>保留司机-车辆、车辆-车挂完整绑定/解绑历史。</w:t>
      </w:r>
    </w:p>
    <w:p>
      <w:pPr>
        <w:pStyle w:val="ListBullet"/>
      </w:pPr>
      <w:r>
        <w:t>已绑定对象再次分配时提示先解绑。</w:t>
      </w:r>
    </w:p>
    <w:p>
      <w:pPr>
        <w:pStyle w:val="ListBullet"/>
      </w:pPr>
      <w:r>
        <w:t>线路发车后冻结司机-车辆、车辆-车挂关系；卸货完成后允许修改。</w:t>
      </w:r>
    </w:p>
    <w:p>
      <w:pPr>
        <w:pStyle w:val="Heading1"/>
      </w:pPr>
      <w:r>
        <w:t>5. 线路与运输</w:t>
      </w:r>
    </w:p>
    <w:p>
      <w:pPr>
        <w:pStyle w:val="Heading2"/>
      </w:pPr>
      <w:r>
        <w:t>5.1 唯一性与分配</w:t>
      </w:r>
    </w:p>
    <w:p>
      <w:pPr>
        <w:pStyle w:val="ListBullet"/>
      </w:pPr>
      <w:r>
        <w:t>【暂定】线路唯一组合：客户+日期+去/返程+装货地+卸货地；预留外部线路编号/趟次序号。</w:t>
      </w:r>
    </w:p>
    <w:p>
      <w:pPr>
        <w:pStyle w:val="ListBullet"/>
      </w:pPr>
      <w:r>
        <w:t>线路核心分配司机，车辆跟随司机当前绑定车辆。</w:t>
      </w:r>
    </w:p>
    <w:p>
      <w:pPr>
        <w:pStyle w:val="ListBullet"/>
      </w:pPr>
      <w:r>
        <w:t>司机+车辆同时存在必须强校验绑定关系。司机无车时可保存/导入但不能发布。</w:t>
      </w:r>
    </w:p>
    <w:p>
      <w:pPr>
        <w:pStyle w:val="ListBullet"/>
      </w:pPr>
      <w:r>
        <w:t>导入校验完整且满足发布条件则自动发布；否则成功导入但保持未发布。</w:t>
      </w:r>
    </w:p>
    <w:p>
      <w:pPr>
        <w:pStyle w:val="Heading2"/>
      </w:pPr>
      <w:r>
        <w:t>5.2 状态</w:t>
      </w:r>
    </w:p>
    <w:tbl>
      <w:tblPr>
        <w:tblStyle w:val="TableGrid"/>
        <w:tblW w:type="auto" w:w="0"/>
        <w:tblLook w:firstColumn="1" w:firstRow="1" w:lastColumn="0" w:lastRow="0" w:noHBand="0" w:noVBand="1" w:val="04A0"/>
      </w:tblPr>
      <w:tblGrid>
        <w:gridCol w:w="4873"/>
        <w:gridCol w:w="4873"/>
      </w:tblGrid>
      <w:tr>
        <w:tc>
          <w:tcPr>
            <w:tcW w:type="dxa" w:w="4873"/>
          </w:tcPr>
          <w:p>
            <w:r>
              <w:t>状态</w:t>
            </w:r>
          </w:p>
        </w:tc>
        <w:tc>
          <w:tcPr>
            <w:tcW w:type="dxa" w:w="4873"/>
          </w:tcPr>
          <w:p>
            <w:r>
              <w:t>规则</w:t>
            </w:r>
          </w:p>
        </w:tc>
      </w:tr>
      <w:tr>
        <w:tc>
          <w:tcPr>
            <w:tcW w:type="dxa" w:w="4873"/>
          </w:tcPr>
          <w:p>
            <w:r>
              <w:t>未发布</w:t>
            </w:r>
          </w:p>
        </w:tc>
        <w:tc>
          <w:tcPr>
            <w:tcW w:type="dxa" w:w="4873"/>
          </w:tcPr>
          <w:p>
            <w:r>
              <w:t>编辑、发布、取消、删除</w:t>
            </w:r>
          </w:p>
        </w:tc>
      </w:tr>
      <w:tr>
        <w:tc>
          <w:tcPr>
            <w:tcW w:type="dxa" w:w="4873"/>
          </w:tcPr>
          <w:p>
            <w:r>
              <w:t>已发布/待发车</w:t>
            </w:r>
          </w:p>
        </w:tc>
        <w:tc>
          <w:tcPr>
            <w:tcW w:type="dxa" w:w="4873"/>
          </w:tcPr>
          <w:p>
            <w:r>
              <w:t>司机可见；发车再次强校验；发车前可取消/删除</w:t>
            </w:r>
          </w:p>
        </w:tc>
      </w:tr>
      <w:tr>
        <w:tc>
          <w:tcPr>
            <w:tcW w:type="dxa" w:w="4873"/>
          </w:tcPr>
          <w:p>
            <w:r>
              <w:t>运输中</w:t>
            </w:r>
          </w:p>
        </w:tc>
        <w:tc>
          <w:tcPr>
            <w:tcW w:type="dxa" w:w="4873"/>
          </w:tcPr>
          <w:p>
            <w:r>
              <w:t>录入重量、卸货；只能由管理端作废；绑定冻结</w:t>
            </w:r>
          </w:p>
        </w:tc>
      </w:tr>
      <w:tr>
        <w:tc>
          <w:tcPr>
            <w:tcW w:type="dxa" w:w="4873"/>
          </w:tcPr>
          <w:p>
            <w:r>
              <w:t>已完成</w:t>
            </w:r>
          </w:p>
        </w:tc>
        <w:tc>
          <w:tcPr>
            <w:tcW w:type="dxa" w:w="4873"/>
          </w:tcPr>
          <w:p>
            <w:r>
              <w:t>司机不可改重量；授权人员可纠错</w:t>
            </w:r>
          </w:p>
        </w:tc>
      </w:tr>
      <w:tr>
        <w:tc>
          <w:tcPr>
            <w:tcW w:type="dxa" w:w="4873"/>
          </w:tcPr>
          <w:p>
            <w:r>
              <w:t>已作废</w:t>
            </w:r>
          </w:p>
        </w:tc>
        <w:tc>
          <w:tcPr>
            <w:tcW w:type="dxa" w:w="4873"/>
          </w:tcPr>
          <w:p>
            <w:r>
              <w:t>可重新启用，但必须重新强校验</w:t>
            </w:r>
          </w:p>
        </w:tc>
      </w:tr>
      <w:tr>
        <w:tc>
          <w:tcPr>
            <w:tcW w:type="dxa" w:w="4873"/>
          </w:tcPr>
          <w:p>
            <w:r>
              <w:t>已取消</w:t>
            </w:r>
          </w:p>
        </w:tc>
        <w:tc>
          <w:tcPr>
            <w:tcW w:type="dxa" w:w="4873"/>
          </w:tcPr>
          <w:p>
            <w:r>
              <w:t>发车前取消历史</w:t>
            </w:r>
          </w:p>
        </w:tc>
      </w:tr>
    </w:tbl>
    <w:p/>
    <w:p>
      <w:pPr>
        <w:pStyle w:val="Heading2"/>
      </w:pPr>
      <w:r>
        <w:t>5.3 发车、重量与卸货</w:t>
      </w:r>
    </w:p>
    <w:p>
      <w:pPr>
        <w:pStyle w:val="ListBullet"/>
      </w:pPr>
      <w:r>
        <w:t>发车时校验线路状态、司机、当前车辆、车辆一致性、车辆有效性和运输冲突；保存司机/车辆/车挂/发车时间快照。</w:t>
      </w:r>
    </w:p>
    <w:p>
      <w:pPr>
        <w:pStyle w:val="ListBullet"/>
      </w:pPr>
      <w:r>
        <w:t>毛重和皮重同页输入，毛重&gt;皮重且均为正数；实际载重=毛重-皮重，系统计算。</w:t>
      </w:r>
    </w:p>
    <w:p>
      <w:pPr>
        <w:pStyle w:val="ListBullet"/>
      </w:pPr>
      <w:r>
        <w:t>达标方式只能选百分比或固定最低载重之一；不达标只标识/标红，不阻断卸货。</w:t>
      </w:r>
    </w:p>
    <w:p>
      <w:pPr>
        <w:pStyle w:val="ListBullet"/>
      </w:pPr>
      <w:r>
        <w:t>司机卸货后不可修改重量。</w:t>
      </w:r>
    </w:p>
    <w:p>
      <w:pPr>
        <w:pStyle w:val="Heading2"/>
      </w:pPr>
      <w:r>
        <w:t>5.4 财务重量纠错</w:t>
      </w:r>
    </w:p>
    <w:p>
      <w:pPr>
        <w:pStyle w:val="ListBullet"/>
      </w:pPr>
      <w:r>
        <w:t>授权人员可改已完成趟次毛重、皮重；原因必填，证明图片选填。</w:t>
      </w:r>
    </w:p>
    <w:p>
      <w:pPr>
        <w:pStyle w:val="ListBullet"/>
      </w:pPr>
      <w:r>
        <w:t>永久保留司机原始值及每次修改前后值、操作人、时间、原因、附件。</w:t>
      </w:r>
    </w:p>
    <w:p>
      <w:pPr>
        <w:pStyle w:val="ListBullet"/>
      </w:pPr>
      <w:r>
        <w:t>修改后立即重算达标、收入、线路利润和实时经营报表；历史结算版本不变。</w:t>
      </w:r>
    </w:p>
    <w:p>
      <w:pPr>
        <w:pStyle w:val="Heading1"/>
      </w:pPr>
      <w:r>
        <w:t>6. 轮胎与换胎</w:t>
      </w:r>
    </w:p>
    <w:p>
      <w:pPr>
        <w:pStyle w:val="ListBullet"/>
      </w:pPr>
      <w:r>
        <w:t>支持未使用轮胎和已使用历史轮胎导入；历史导入可修改/删除。</w:t>
      </w:r>
    </w:p>
    <w:p>
      <w:pPr>
        <w:pStyle w:val="ListBullet"/>
      </w:pPr>
      <w:r>
        <w:t>已正式申领/消耗轮胎不可再次申请。</w:t>
      </w:r>
    </w:p>
    <w:p>
      <w:pPr>
        <w:pStyle w:val="ListBullet"/>
      </w:pPr>
      <w:r>
        <w:t>自有司机可换胎，外协司机不可；一次申请可多条。</w:t>
      </w:r>
    </w:p>
    <w:p>
      <w:pPr>
        <w:pStyle w:val="ListBullet"/>
      </w:pPr>
      <w:r>
        <w:t>拍胎号→OCR→确认→库存/重复校验→审批；通过后记录申领司机、车辆、装胎时间。</w:t>
      </w:r>
    </w:p>
    <w:p>
      <w:pPr>
        <w:pStyle w:val="ListBullet"/>
      </w:pPr>
      <w:r>
        <w:t>不管理旧胎、位置、里程、寿命；保存原图、OCR原始结果、最终确认胎号。</w:t>
      </w:r>
    </w:p>
    <w:p>
      <w:pPr>
        <w:pStyle w:val="Heading1"/>
      </w:pPr>
      <w:r>
        <w:t>7. 费用管理</w:t>
      </w:r>
    </w:p>
    <w:p>
      <w:pPr>
        <w:pStyle w:val="ListBullet"/>
      </w:pPr>
      <w:r>
        <w:t>费用包括罚款、带车费、维修费、电费、气费、过路费、水费、洗车费、临时电费、信息费、司机工资等。</w:t>
      </w:r>
    </w:p>
    <w:p>
      <w:pPr>
        <w:pStyle w:val="ListBullet"/>
      </w:pPr>
      <w:r>
        <w:t>所有费用必须绑定车辆；归属类型为线路费用/日常费用。线路费用必须选线路，日常费用不绑定线路且绝不分摊。</w:t>
      </w:r>
    </w:p>
    <w:p>
      <w:pPr>
        <w:pStyle w:val="ListBullet"/>
      </w:pPr>
      <w:r>
        <w:t>审批数据通过后不可直接修改；错误采用冲销原费用+重新审批。人工/导入历史数据可修改、逻辑删除并留痕。</w:t>
      </w:r>
    </w:p>
    <w:p>
      <w:pPr>
        <w:pStyle w:val="ListBullet"/>
      </w:pPr>
      <w:r>
        <w:t>审批费用可从费用详情直接查看完整审批链和审批人。</w:t>
      </w:r>
    </w:p>
    <w:p>
      <w:pPr>
        <w:pStyle w:val="ListBullet"/>
      </w:pPr>
      <w:r>
        <w:t>电/气费按车辆且发车时间≤订单时间≤卸货时间自动匹配线路；无匹配默认日常；允许人工纠正。</w:t>
      </w:r>
    </w:p>
    <w:p>
      <w:pPr>
        <w:pStyle w:val="ListBullet"/>
      </w:pPr>
      <w:r>
        <w:t>已匹配线路后来作废时，费用进入待确认归属，由财务处理。</w:t>
      </w:r>
    </w:p>
    <w:p>
      <w:pPr>
        <w:pStyle w:val="Heading1"/>
      </w:pPr>
      <w:r>
        <w:t>8. 审批系统</w:t>
      </w:r>
    </w:p>
    <w:p>
      <w:pPr>
        <w:pStyle w:val="ListBullet"/>
      </w:pPr>
      <w:r>
        <w:t>审批项目：罚款、临时电费、维修费、水费、过路费、换胎。</w:t>
      </w:r>
    </w:p>
    <w:p>
      <w:pPr>
        <w:pStyle w:val="ListBullet"/>
      </w:pPr>
      <w:r>
        <w:t>支持岗位、流程、节点、具体审批人配置。</w:t>
      </w:r>
    </w:p>
    <w:p>
      <w:pPr>
        <w:pStyle w:val="ListBullet"/>
      </w:pPr>
      <w:r>
        <w:t>流程状态建议：草稿DRAFT、已发布ACTIVE、维护锁定MAINTENANCE。进入维护后禁止新申请；有在途审批时不得修改流程。</w:t>
      </w:r>
    </w:p>
    <w:p>
      <w:pPr>
        <w:pStyle w:val="ListBullet"/>
      </w:pPr>
      <w:r>
        <w:t>待该类型审批全部完全通过或打回发起人等不再占用流程后才能修改；修改审批人后原审批人不可继续审批。</w:t>
      </w:r>
    </w:p>
    <w:p>
      <w:pPr>
        <w:pStyle w:val="ListBullet"/>
      </w:pPr>
      <w:r>
        <w:t>节点支持通过、打回申请人、打回指定前序节点、备注和图片。A→B→C→D中D打回B后重新走B→C→D。</w:t>
      </w:r>
    </w:p>
    <w:p>
      <w:pPr>
        <w:pStyle w:val="ListBullet"/>
      </w:pPr>
      <w:r>
        <w:t>打回重提保留旧版本内容、图片、意见、附件和历史；审批中图片不可删除。</w:t>
      </w:r>
    </w:p>
    <w:p>
      <w:pPr>
        <w:pStyle w:val="Heading1"/>
      </w:pPr>
      <w:r>
        <w:t>9. 附件</w:t>
      </w:r>
    </w:p>
    <w:p>
      <w:pPr>
        <w:pStyle w:val="ListBullet"/>
      </w:pPr>
      <w:r>
        <w:t>单次最多9张，可多次上传；业务上不限制单图大小，不主动压缩，原图永久保留。</w:t>
      </w:r>
    </w:p>
    <w:p>
      <w:pPr>
        <w:pStyle w:val="ListBullet"/>
      </w:pPr>
      <w:r>
        <w:t>审批中的图片不可删除；需更换必须打回发起人。</w:t>
      </w:r>
    </w:p>
    <w:p>
      <w:pPr>
        <w:pStyle w:val="ListBullet"/>
      </w:pPr>
      <w:r>
        <w:t>OCR保存原图、OCR原始结果、用户最终确认值。</w:t>
      </w:r>
    </w:p>
    <w:p>
      <w:pPr>
        <w:pStyle w:val="Heading1"/>
      </w:pPr>
      <w:r>
        <w:t>10. 统一导入中心</w:t>
      </w:r>
    </w:p>
    <w:p>
      <w:pPr>
        <w:pStyle w:val="ListBullet"/>
      </w:pPr>
      <w:r>
        <w:t>所有上传先预览并完成格式、业务、绑定、重复校验；确认上传后后端再次全量校验。</w:t>
      </w:r>
    </w:p>
    <w:p>
      <w:pPr>
        <w:pStyle w:val="ListBullet"/>
      </w:pPr>
      <w:r>
        <w:t>结果区分成功/自动发布、成功但未发布、失败，并逐行显示原因。</w:t>
      </w:r>
    </w:p>
    <w:p>
      <w:pPr>
        <w:pStyle w:val="ListBullet"/>
      </w:pPr>
      <w:r>
        <w:t>同一数据重复上传必须失败并提示已存在；数据库层提供唯一约束/幂等保护。</w:t>
      </w:r>
    </w:p>
    <w:p>
      <w:pPr>
        <w:pStyle w:val="ListBullet"/>
      </w:pPr>
      <w:r>
        <w:t>允许一批数据部分成功。</w:t>
      </w:r>
    </w:p>
    <w:p>
      <w:pPr>
        <w:pStyle w:val="ListBullet"/>
      </w:pPr>
      <w:r>
        <w:t>保留导入任务、原文件、原始行、标准数据、预校验、最终结果、错误码/原因、业务ID、上传人和时间。</w:t>
      </w:r>
    </w:p>
    <w:p>
      <w:pPr>
        <w:pStyle w:val="ListBullet"/>
      </w:pPr>
      <w:r>
        <w:t>电/气费通过可扩展站点模板/字段映射适配不同格式。</w:t>
      </w:r>
    </w:p>
    <w:p>
      <w:pPr>
        <w:pStyle w:val="Heading1"/>
      </w:pPr>
      <w:r>
        <w:t>11. 利润与经营报表</w:t>
      </w:r>
    </w:p>
    <w:p>
      <w:pPr>
        <w:pStyle w:val="ListBullet"/>
      </w:pPr>
      <w:r>
        <w:t>线路收入=有效实际载重×单价含税。</w:t>
      </w:r>
    </w:p>
    <w:p>
      <w:pPr>
        <w:pStyle w:val="ListBullet"/>
      </w:pPr>
      <w:r>
        <w:t>线路利润=线路收入-该线路全部线路费用-司机工资。</w:t>
      </w:r>
    </w:p>
    <w:p>
      <w:pPr>
        <w:pStyle w:val="ListBullet"/>
      </w:pPr>
      <w:r>
        <w:t>公司总利润=全部线路收入-全部线路费用-全部日常费用-全部司机工资。</w:t>
      </w:r>
    </w:p>
    <w:p>
      <w:pPr>
        <w:pStyle w:val="ListBullet"/>
      </w:pPr>
      <w:r>
        <w:t>日常费用不分摊，因此公司总利润不要求等于线路利润简单合计。</w:t>
      </w:r>
    </w:p>
    <w:p>
      <w:pPr>
        <w:pStyle w:val="ListBullet"/>
      </w:pPr>
      <w:r>
        <w:t>司机工资来源暂空，后续可导入；利润始终必须扣除。未录入时显示“待录入/成本不完整”。</w:t>
      </w:r>
    </w:p>
    <w:p>
      <w:pPr>
        <w:pStyle w:val="ListBullet"/>
      </w:pPr>
      <w:r>
        <w:t>经营月份按业务发生日期：线路按卸货日；电/气按订单开始时间；工资按所属月份；其他费用按业务日期，不按录入/审批时间。</w:t>
      </w:r>
    </w:p>
    <w:p>
      <w:pPr>
        <w:pStyle w:val="Heading1"/>
      </w:pPr>
      <w:r>
        <w:t>12. 月度结算与版本差异</w:t>
      </w:r>
    </w:p>
    <w:p>
      <w:pPr>
        <w:pStyle w:val="ListBullet"/>
      </w:pPr>
      <w:r>
        <w:t>采用方案C：实时经营报表+月度结算快照。</w:t>
      </w:r>
    </w:p>
    <w:p>
      <w:pPr>
        <w:pStyle w:val="ListBullet"/>
      </w:pPr>
      <w:r>
        <w:t>生成快照不锁业务数据；补录/修改改变实时历史月份，但不改变既有结算版本。</w:t>
      </w:r>
    </w:p>
    <w:p>
      <w:pPr>
        <w:pStyle w:val="ListBullet"/>
      </w:pPr>
      <w:r>
        <w:t>每次生成V1/V2/V3新版本，历史永久保留；快照保存到明细级。</w:t>
      </w:r>
    </w:p>
    <w:p>
      <w:pPr>
        <w:pStyle w:val="ListBullet"/>
      </w:pPr>
      <w:r>
        <w:t>新版本必须显示相对上一版本的新增、删除、修改、归属变化、重量调整及金额/利润影响。</w:t>
      </w:r>
    </w:p>
    <w:p>
      <w:pPr>
        <w:pStyle w:val="ListBullet"/>
      </w:pPr>
      <w:r>
        <w:t>差异明细显示业务对象、前后值、实际操作人、操作时间、原因；报表生成者与数据修改者分开记录。</w:t>
      </w:r>
    </w:p>
    <w:p>
      <w:pPr>
        <w:pStyle w:val="Heading1"/>
      </w:pPr>
      <w:r>
        <w:t>13. 报表与看板</w:t>
      </w:r>
    </w:p>
    <w:p>
      <w:pPr>
        <w:pStyle w:val="ListBullet"/>
      </w:pPr>
      <w:r>
        <w:t>利润报表：客户、产品、司机、车辆、装卸地、充电/临时补电、洗车、水费、罚款、维修保养、司机工资、收入、支出、利润等。</w:t>
      </w:r>
    </w:p>
    <w:p>
      <w:pPr>
        <w:pStyle w:val="ListBullet"/>
      </w:pPr>
      <w:r>
        <w:t>车辆支出：罚款、洗车、加水、维修、电费、趟次等。</w:t>
      </w:r>
    </w:p>
    <w:p>
      <w:pPr>
        <w:pStyle w:val="ListBullet"/>
      </w:pPr>
      <w:r>
        <w:t>司机支出：趟数、公里、罚款、洗车、加水、维修保养、司机工资。</w:t>
      </w:r>
    </w:p>
    <w:p>
      <w:pPr>
        <w:pStyle w:val="ListBullet"/>
      </w:pPr>
      <w:r>
        <w:t>出勤报表按月显示司机每日是否出车；电费报表按车牌统计度数和费用。</w:t>
      </w:r>
    </w:p>
    <w:p>
      <w:pPr>
        <w:pStyle w:val="ListBullet"/>
      </w:pPr>
      <w:r>
        <w:t>首页看板展示年/月收入、支出、线路利润、日常支出、总利润、趟次及趋势。</w:t>
      </w:r>
    </w:p>
    <w:p>
      <w:pPr>
        <w:pStyle w:val="Heading1"/>
      </w:pPr>
      <w:r>
        <w:t>14. 操作审计</w:t>
      </w:r>
    </w:p>
    <w:p>
      <w:pPr>
        <w:pStyle w:val="ListBullet"/>
      </w:pPr>
      <w:r>
        <w:t>操作日志为底层公共能力。</w:t>
      </w:r>
    </w:p>
    <w:p>
      <w:pPr>
        <w:pStyle w:val="ListBullet"/>
      </w:pPr>
      <w:r>
        <w:t>记录绑定/解绑、线路发布/取消/删除/发车/卸货/作废/重新启用、重量调整、费用增删改/归属、导入、审批、流程维护/审批人修改、账号重置、角色权限、月度结算等。</w:t>
      </w:r>
    </w:p>
    <w:p>
      <w:pPr>
        <w:pStyle w:val="ListBullet"/>
      </w:pPr>
      <w:r>
        <w:t>关键修改保存修改前、修改后、操作人、时间、原因，并可记录IP和终端。</w:t>
      </w:r>
    </w:p>
    <w:p>
      <w:pPr>
        <w:pStyle w:val="Heading1"/>
      </w:pPr>
      <w:r>
        <w:t>15. 关键一致性与验收原则</w:t>
      </w:r>
    </w:p>
    <w:p>
      <w:pPr>
        <w:pStyle w:val="ListBullet"/>
      </w:pPr>
      <w:r>
        <w:t>关键校验必须由后端执行，前端隐藏/禁用仅用于体验。</w:t>
      </w:r>
    </w:p>
    <w:p>
      <w:pPr>
        <w:pStyle w:val="ListBullet"/>
      </w:pPr>
      <w:r>
        <w:t>发布、发车、审批、换胎消耗、费用冲销、正式导入等关键操作需事务或等效一致性机制。</w:t>
      </w:r>
    </w:p>
    <w:p>
      <w:pPr>
        <w:pStyle w:val="ListBullet"/>
      </w:pPr>
      <w:r>
        <w:t>重复导入同时具备应用层校验和数据库唯一/幂等保护。</w:t>
      </w:r>
    </w:p>
    <w:p>
      <w:pPr>
        <w:pStyle w:val="ListBullet"/>
      </w:pPr>
      <w:r>
        <w:t>审批、导入、财务纠错、结算版本必须完整可追溯。</w:t>
      </w:r>
    </w:p>
    <w:p>
      <w:pPr>
        <w:pStyle w:val="ListBullet"/>
      </w:pPr>
      <w:r>
        <w:t>业务删除优先逻辑删除，不得破坏审批、运输、结算审计链。</w:t>
      </w:r>
    </w:p>
    <w:p>
      <w:pPr>
        <w:pStyle w:val="Heading1"/>
      </w:pPr>
      <w:r>
        <w:t>16. 暂定与后续扩展</w:t>
      </w:r>
    </w:p>
    <w:tbl>
      <w:tblPr>
        <w:tblStyle w:val="TableGrid"/>
        <w:tblW w:type="auto" w:w="0"/>
        <w:tblLook w:firstColumn="1" w:firstRow="1" w:lastColumn="0" w:lastRow="0" w:noHBand="0" w:noVBand="1" w:val="04A0"/>
      </w:tblPr>
      <w:tblGrid>
        <w:gridCol w:w="4873"/>
        <w:gridCol w:w="4873"/>
      </w:tblGrid>
      <w:tr>
        <w:tc>
          <w:tcPr>
            <w:tcW w:type="dxa" w:w="4873"/>
          </w:tcPr>
          <w:p>
            <w:r>
              <w:t>类别</w:t>
            </w:r>
          </w:p>
        </w:tc>
        <w:tc>
          <w:tcPr>
            <w:tcW w:type="dxa" w:w="4873"/>
          </w:tcPr>
          <w:p>
            <w:r>
              <w:t>内容</w:t>
            </w:r>
          </w:p>
        </w:tc>
      </w:tr>
      <w:tr>
        <w:tc>
          <w:tcPr>
            <w:tcW w:type="dxa" w:w="4873"/>
          </w:tcPr>
          <w:p>
            <w:r>
              <w:t>暂定</w:t>
            </w:r>
          </w:p>
        </w:tc>
        <w:tc>
          <w:tcPr>
            <w:tcW w:type="dxa" w:w="4873"/>
          </w:tcPr>
          <w:p>
            <w:r>
              <w:t>线路唯一组合：客户+日期+去/返程+装货地+卸货地</w:t>
            </w:r>
          </w:p>
        </w:tc>
      </w:tr>
      <w:tr>
        <w:tc>
          <w:tcPr>
            <w:tcW w:type="dxa" w:w="4873"/>
          </w:tcPr>
          <w:p>
            <w:r>
              <w:t>后续扩展</w:t>
            </w:r>
          </w:p>
        </w:tc>
        <w:tc>
          <w:tcPr>
            <w:tcW w:type="dxa" w:w="4873"/>
          </w:tcPr>
          <w:p>
            <w:r>
              <w:t>司机工资导入来源/计算方式</w:t>
            </w:r>
          </w:p>
        </w:tc>
      </w:tr>
      <w:tr>
        <w:tc>
          <w:tcPr>
            <w:tcW w:type="dxa" w:w="4873"/>
          </w:tcPr>
          <w:p>
            <w:r>
              <w:t>后续扩展</w:t>
            </w:r>
          </w:p>
        </w:tc>
        <w:tc>
          <w:tcPr>
            <w:tcW w:type="dxa" w:w="4873"/>
          </w:tcPr>
          <w:p>
            <w:r>
              <w:t>部门/组织及数据权限隔离</w:t>
            </w:r>
          </w:p>
        </w:tc>
      </w:tr>
      <w:tr>
        <w:tc>
          <w:tcPr>
            <w:tcW w:type="dxa" w:w="4873"/>
          </w:tcPr>
          <w:p>
            <w:r>
              <w:t>后续扩展</w:t>
            </w:r>
          </w:p>
        </w:tc>
        <w:tc>
          <w:tcPr>
            <w:tcW w:type="dxa" w:w="4873"/>
          </w:tcPr>
          <w:p>
            <w:r>
              <w:t>线路外部编号/趟次序号完善重复判定</w:t>
            </w:r>
          </w:p>
        </w:tc>
      </w:tr>
    </w:tbl>
    <w:p/>
    <w:p>
      <w:pPr>
        <w:pStyle w:val="Heading1"/>
      </w:pPr>
      <w:r>
        <w:t>17. V1.0 需求成熟度结论</w:t>
      </w:r>
    </w:p>
    <w:p>
      <w:r>
        <w:t>当前核心业务规则、运输状态机、审批、导入、费用归属、利润和结算版本机制已形成稳定基线。后续应进入页面/功能清单、数据库ER与表结构、API、权限编码和开发迭代拆分；新增规则按需求变更管理。</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