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p>
    <w:p>
      <w:pPr>
        <w:pStyle w:val="Heading1"/>
      </w:pPr>
      <w:r>
        <w:t>1 用户、账号与基础资料</w:t>
      </w:r>
    </w:p>
    <w:p>
      <w:pPr>
        <w:pStyle w:val="ListBullet"/>
      </w:pPr>
      <w:r>
        <w:t>一个 User 只能拥有一个角色；角色关联权限。DRIVER 角色账号仅通过司机业务流程创建或关联，系统用户页不得直接创建或分配 DRIVER。</w:t>
      </w:r>
    </w:p>
    <w:p>
      <w:pPr>
        <w:pStyle w:val="ListBullet"/>
      </w:pPr>
      <w:r>
        <w:t>Driver.driverType 是 INTERNAL 或 OUTSOURCED 的唯一权威，不能由客户端传入的类型、角色或有无绑定推断。后台创建司机时，若手机号无合法 DRIVER User，由创建人填写初始密码并创建安全哈希账号；若已有合法 DRIVER User，直接关联且不改密码。密码不明文返回、不写日志或 Audit，重置走正式重置流程。</w:t>
      </w:r>
    </w:p>
    <w:p>
      <w:pPr>
        <w:pStyle w:val="ListBullet"/>
      </w:pPr>
      <w:r>
        <w:t>INTERNAL 司机可按正式规则绑定公司车辆；公司车可绑定车挂。绑定、解绑保留时间、操作者和原因。运输中的公司车/司机/车挂快照受锁保护，不能通过变更绑定改写运输事实。</w:t>
      </w:r>
    </w:p>
    <w:p>
      <w:pPr>
        <w:pStyle w:val="ListBullet"/>
      </w:pPr>
      <w:r>
        <w:t>OUTSOURCED 不绑定、不查询、不创建公司 Vehicle；每次任务逐条填写真实外协车牌。其小程序只开放本人核心运输操作，不开放费用申请、换胎、工资或公司经营数据。</w:t>
      </w:r>
    </w:p>
    <w:p>
      <w:pPr>
        <w:pStyle w:val="ListBullet"/>
      </w:pPr>
      <w:r>
        <w:t>Product 是唯一货物主数据；客户直接使用中文名称，无 Customer 主数据依赖。司机、车辆、车挂、货物的停用与历史关系不得破坏既有任务快照。</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审批模板业务类型固定为 EXPENSE、GENERAL、TIRE_REPLACEMENT。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w:t>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普通费用 Excel 不自动匹配任务。仅经批准的指定充电公司专用来源在稳定唯一记录 ID、公司车、精确到秒时间及金额可靠且候选任务恰好一条时才可自动归属；0 条保持未归属，多条转人工。此专用适配作为独立后续交付，不阻塞主体功能。</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服务端独立执行身份、权限、本人/参与范围、状态、唯一性、并发和附件权限校验。前端按钮隐藏只是体验。关键写入使用事务、幂等键或乐观版本、数据库唯一约束和 Audit；运输、审批、费用、轮胎、结算历史不可物理破坏。金额与重量使用 DECIMAL。</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