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/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时无合法账号则以后台填写的初始密码创建安全哈希 User，已有合法账号直接关联；系统用户维护不能绕过此流程分配 DRIVER。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</w:t>
      </w:r>
    </w:p>
    <w:p>
      <w:pPr>
        <w:pStyle w:val="Heading1"/>
      </w:pPr>
      <w:r>
        <w:t>3 线路模板、任务、参与人</w:t>
      </w:r>
    </w:p>
    <w:p>
      <w:r>
        <w:t>RouteTemplate 1:N TransportTask。模板以 stableCode 唯一，含名称、中文客户、Product、起讫地和三项默认金额；启停仅影响未来生成。TransportTask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UNPUBLISHED→PUBLISHED→IN_TRANSIT→COMPLETED。转派使执行中任务进入 TRANSFER_PENDING，只有新 current Participant 实际发车才能回 IN_TRANSIT；最后 current Participant 才可卸货。从未实际发车且未进入转派执行链的 UNPUBLISHED/PUBLISHED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>
        <w:t>ApprovalTemplate 固定 businessType 为 EXPENSE、GENERAL、TIRE_REPLACEMENT；模板 1:N FlowVersion，发布版本不可原地修改。ApprovalInstance 指向冻结 FlowVersion，含 N 个 SubmissionVersion、Task/Action 历史。ApprovalAction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可手工新增多项，固定 Excel 仅将行加入同一可编辑草稿；可统一修改、删除，最终 N 项提交为一个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保存有权限的人工修改。TireRequest 与 OcrRecord、原始图片及用户确认胎号关联；已申领胎号禁止再次申请。Web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一实例冻结一流程版本；步骤 ID 与实例绑定，不随模板编辑变化。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司机查询仅本人参与任务且不返回价格、工资、收入、支出、利润及达标数据；本人自有工资单走独立权限。外协无费用、换胎或工资查询。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