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API 接口设计</w:t>
      </w:r>
    </w:p>
    <w:p>
      <w:r>
        <w:t>本接口说明只定义首次正式上线的最终 API。统一前缀 /api/v1，JSON 使用 camelCase，ID 为服务端引用而非要求业务人员手输的字段。HTTP 成功返回 {code:"OK",message:"成功",data,requestId}；失败返回非 OK 业务码、中文可理解消息、字段错误和 requestId。列表统一 pageNo（从 1 开始）、pageSize、total、items；导出复用查询筛选口径并限制数据量。鉴权使用 Bearer Token，写入需服务端权限、对象范围、状态、幂等与并发校验。</w:t>
      </w:r>
    </w:p>
    <w:p>
      <w:pPr>
        <w:pStyle w:val="Heading1"/>
      </w:pPr>
      <w:r>
        <w:t>1 身份与基础资料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/auth/login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phone、password；返回 accessToken 与登录用户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密码不入日志和响应；错误不泄露账号是否存在。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/me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id、role、driverType、permissions、本人司机/车辆摘要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菜单仅依 permissions 展示；后端仍独立授权。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/auth/logout、POST /auth/password/reset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退出/正式重置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重置留 Audit，不返回明文旧密码。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/drivers，GET /drivers/{id}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姓名、手机号、driverType、状态；新账号时 initialPassword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类型由持久 Driver 决定。已有合法 DRIVER User 仅关联、不改密码；初始密码只写入请求一次，不回显。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/vehicles、/trailers、/products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主数据列表/详情/维护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停用不能改写任务快照；公司车状态/限载/达标规则由后端校验。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/bindings/driver-vehicle、/bindings/vehicle-trailer；POST /bindings/{id}/unbind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专用；运输锁与并发校验；解绑原因及操作者留史。</w:t>
            </w:r>
          </w:p>
        </w:tc>
      </w:tr>
    </w:tbl>
    <w:p/>
    <w:p>
      <w:pPr>
        <w:pStyle w:val="Heading1"/>
      </w:pPr>
      <w:r>
        <w:t>2 模板、调度与运输任务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/route-templates；GET/PATCH /route-templates/{id}；POST /route-templates/{id}/enable 或 /disable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stableCode、name、customerName、productId、起讫地、三项默认金额、备注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唯一；无发布/发车/导入动作；停用阻新任务。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businessDate、rows[{templateStableCode,driverId,outsourcedPlateNo,actualUnitPrice,actualInformationFee,initialSalary,remark}]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返回逐行解析默认值、司机类型/车辆和错误；预览不产生任务。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previewId、requestKey、确认后的 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单事务正式重验；任一行失败整批零任务；同 requestKey 重试返回同一结果。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/dispatch-batches/{id}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批次状态、逐行任务号/失败原因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权限范围内查看；不能将预览记为正式发布。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businessDate、status、templateId、driverId、taskNo、pageNo/pageSize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服务端分页；管理端字段按经营权限过滤。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任务/模板快照、当前状态、参与/金额/证据摘要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详情按权限分区；不可让历史绑定覆盖快照。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/transport-tasks/{id}/participants、/amount-history、/weight-versions、/expenses、/status-history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有序参与、工资/金额史、重量与原始/纠错证据、费用来源/当前归属、状态史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财务与附件各独立授权；原始磅单与纠错证据分离。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/transport-tasks/{id}/transfer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newDriverId、outsourcedPlateNo、allParticipantSalaries、newSalary、reason、expectedVersion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追加参与、核定全部工资；旧参与不可覆盖；事务、当前状态、版本与司机类型强校验。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/transport-tasks/{id}/depart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requestKey、expectedVersion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仅当前参与司机；后端重核绑定/公司车资格或外协车牌，冻结快照并追加实际发车事件。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/transport-tasks/{id}/unload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grossWeight、tareWeight、ticketAttachmentIds、requestKey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 IN_TRANSIT 参与司机；至少一张正式原始磅单，服务端算净重；提交后只读。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/transport-tasks/{id}/weight-adjustments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grossWeight、tareWeight、reason、evidenceAttachmentIds、expectedVersion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授权纠错追加版本，原始重量/磅单不覆盖。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/transport-tasks/{id}/amount-adjustments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kind=UNIT_PRICE/INFORMATION_FEE、newAmount、reason、expectedVersion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授权变更追加前后金额史，实时重算。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/transport-tasks/{id}/cancel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reason、expectedVersion、requestKey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仅从未实际发车且未进入转派链的 UNPUBLISHED/PUBLISHED 任务；转为终态 CANCELLED，保留原参与及状态史。实际发车后或 COMPLETED 均拒绝。</w:t>
            </w:r>
          </w:p>
        </w:tc>
      </w:tr>
    </w:tbl>
    <w:p/>
    <w:p>
      <w:r>
        <w:t>TransportTask 的发布由调度批次确认或固定任务导入的正式提交完成；不提供可绕开两者强校验的任意发布 API。服务端从 Driver 读取 driverType，客户端不得以传参切换 INTERNAL/OUTSOURCED 分支。</w:t>
      </w:r>
    </w:p>
    <w:p>
      <w:pPr>
        <w:pStyle w:val="Heading1"/>
      </w:pPr>
      <w:r>
        <w:t>3 固定 Excel、工资、出勤与月账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/task-imports/template、POST /task-imports/preview、POST /task-imports/{id}/confirm、GET /task-imports/{id}/rows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固定模板版本、文件、逐行预览/正式结果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仅固定任务表头；不自动建司机；正式重验、重复行失败、保存历史。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month、driverId、driverType、templateId、taskId、transferOnly、分页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只取有效 Participant 核定工资，含转派顺序与总额。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/transport-tasks/{id}/participant-salaries/confirm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salaries[{participantId,amount,expectedVersion}]、reason、requestKey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一次核定任务全员，金额&gt;=0，同额不记历史，失败整批回滚。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/driver-salaries/export、GET /driver-salaries/{participantId}/history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同筛选导出、调整前后历史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查看与导出/核定权限分离。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/attendance、GET /attendance/export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month、driverId；每日 INTERNAL 实际发车是否出勤及月合计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日期按服务端本地时区的 departedAt；同日多趟计一日。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/dispatch-ledger/internal、/dispatch-ledger/outsourced、/dispatch-ledger/export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month、分页；车辆或外协车牌+司机、每日实际发车数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当日点击可查事件/任务；同日多次及接手重发分别计数。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/salary-slips/mine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month、金额、明细与状态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仅有 salary:mine 的 INTERNAL 本人；外协拒绝。</w:t>
            </w:r>
          </w:p>
        </w:tc>
      </w:tr>
    </w:tbl>
    <w:p/>
    <w:p>
      <w:pPr>
        <w:pStyle w:val="Heading1"/>
      </w:pPr>
      <w:r>
        <w:t>4 审批、费用和归属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/approval-templates；GET/POST /approval-templates/{id}/flows；POST /approval-flows/{id}/publish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stableCode、businessType、流程步骤/审批人及版本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类型固定 EXPENSE/GENERAL/TIRE_REPLACEMENT；发布后版本不可原地改写，在途约束后端校验。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/approvals/available-templates；GET/POST /approvals；GET /approvals/{id}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业务类型、申请人、Submission、动作时间线、证据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按角色/可用模板与本人范围过滤。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/approvals/{id}/returnable-steps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[{targetFlowNodeId,nodeOrder,nodeName,approverHint}]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仅当前有权限审批人；只返回冻结 FlowVersion 中实际经过的合法前置步骤。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/approvals/{id}/approve、/return-applicant、/return-step、/resubmit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comment、targetFlowNodeId（指定步骤）、attachmentIds、expectedVersion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打回原因必填；不接收手填 nodeOrder；旧任务失效，目标及后续重新走。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/expense-applications/preview、POST /expense-applications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applicationScope、expenseType、单项明细或 DAILY 批次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DAILY/TASK 首步固定；TASK 先司机后参与任务且只一项；金额&gt;0，外协拒绝。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/expense-application-imports/template、POST /expense-application-imports/preview、POST /expense-application-imports/{id}/submit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DAILY Excel、N 项及合计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 DAILY；一批一 ApprovalInstance，错误行阻提交，整批通过/打回。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/expense-ledger、GET /expense-ledger/export、GET /expense-ledger/{id}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日期、类型、applicationScope、currentTaskId、司机/车/来源/状态；来源与归属史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分页、合计/导出同筛选；批准费用不可直接改金额。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/expense-ledger/{id}/attribution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targetTaskId 或解除归属、reason、expectedVersion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车辆须匹配目标任务正式 INTERNAL 参与车，否则硬拒绝；原 applicationScope 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/expense-ledger/{id}/reverse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正式负向冲销并关联原条目；重复冲销拒绝。</w:t>
            </w:r>
          </w:p>
        </w:tc>
      </w:tr>
    </w:tbl>
    <w:p/>
    <w:p>
      <w:r>
        <w:t>费用明细统一包括 businessDate、vehicleId、driverId、description、amount、receiptNo、invoiceNo、remark、stationName。司机/车分别存在；DAILY 不要求绑定。审批批准 N 项以 (approvalInstanceId,itemNo) 唯一落账，重复回调不重记。普通 Excel 不自动匹配；专用充电公司适配须另经批准后进入独立 API。</w:t>
      </w:r>
    </w:p>
    <w:p>
      <w:pPr>
        <w:pStyle w:val="Heading1"/>
      </w:pPr>
      <w:r>
        <w:t>5 轮胎、附件、经营与通知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/tire-imports/template、POST /tire-imports/preview、POST /tire-imports/{id}/confirm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恰好四列：到货时间、物料描述、条码、胎号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重复胎号失败；入库 AVAILABLE，不写安装/司机/车。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/tires、GET/PATCH /tires/{id}、GET /tires/{id}/history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库存与人工维护、前后历史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可维护但不得从 Web 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/tire-requests/ocr、POST /tire-requests、GET /tire-requests/{id}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原图、OCR 原始结果、确认胎号、库存匹配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小程序发起；已申领防重；审批独立。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/attachments、GET /attachments/{id}/preview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ownerType、ownerId、purpose、文件；缩略/大图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owner/purpose/角色授权；上传失败可重试，不暴露裸存储地址。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/reports/tasks、/reports/templates、/reports/vehicle-expenses、/reports/driver-expenses、/reports/energy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同口径收入、信息费、工资、费用、利润与钻取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服务端分页/汇总；COMPLETED 始终按当前有效事实核算，CANCELLED 无运输经营额，已发生的真实费用仍入公司成本；未归属费用独立解释。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/settlements、POST /settlements/{month}/versions、GET /settlements/{month}/versions/{versionNo}、GET /settlements/{month}/versions/{versionNo}/diff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月份、不可变版本、事实快照和差异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版本生成事务；旧版只读。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/notifications、GET /notifications/unread-count、POST /notifications/{id}/read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本人站内提醒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非业务事实；不得绕过外协角色范围。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/audit-logs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对象、操作、时间、操作者分页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授权管理人员；不展示密码或 Token。</w:t>
            </w:r>
          </w:p>
        </w:tc>
      </w:tr>
    </w:tbl>
    <w:p/>
    <w:p>
      <w:pPr>
        <w:pStyle w:val="Heading1"/>
      </w:pPr>
      <w:r>
        <w:t>6 司机专用响应与错误语义</w:t>
      </w:r>
    </w:p>
    <w:p>
      <w:r>
        <w:t>GET /driver/transport-tasks、GET /driver/transport-tasks/{id} 只返回本人参与记录、模板业务快照、当前参与状态、真实公司或外协车牌、下一步、可见重量与原始磅单只读预览。无当前操作权的历史司机仅可看历史且不出现发车/卸货操作。响应模型明确排除实际单价、信息费、任意参与工资、收入、支出、利润、达标结果与阈值；不能先返回后由前端隐藏。</w:t>
      </w:r>
    </w:p>
    <w:p>
      <w:r>
        <w:t>错误以 HTTP 400/401/403/404/409/422/500 等与稳定业务码表达格式、认证、权限、范围、不存在、状态冲突、重复与业务校验。字段错误应给出 field、reason；网络失败与业务空列表在 UI 中必须不同。关键操作必须带 requestKey 或 expectedVersion，并由数据库唯一性/事务兜底；成功响应返回业务 ID、状态与可重查事实。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