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车队经营管理系统部署上线说明书</w:t>
      </w:r>
    </w:p>
    <w:p>
      <w:pPr>
        <w:jc w:val="center"/>
      </w:pPr>
      <w:r>
        <w:rPr>
          <w:sz w:val="24"/>
        </w:rPr>
        <w:t>测试环境部署、生产上线、备份恢复与运维检查 · V1.0</w:t>
      </w:r>
    </w:p>
    <w:p>
      <w:r>
        <w:br w:type="page"/>
      </w:r>
    </w:p>
    <w:p>
      <w:pPr>
        <w:pStyle w:val="Heading1"/>
      </w:pPr>
      <w:r>
        <w:t>1. 目的与当前状态</w:t>
      </w:r>
    </w:p>
    <w:p>
      <w:r>
        <w:t>当前代码已通过自动化验收并具备部署测试环境的工程基础。生产上线仍需完成正式域名/HTTPS、小程序正式 AppID、稳定附件目录、初始化账号权限、日志备份方案，以及按业务要求接入真实 OCR 服务。</w:t>
      </w:r>
    </w:p>
    <w:p>
      <w:pPr>
        <w:pStyle w:val="Heading1"/>
      </w:pPr>
      <w:r>
        <w:t>2. 系统组成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b/>
                <w:color w:val="FFFFFF"/>
              </w:rPr>
              <w:t>组件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</w:rPr>
              <w:t>技术/版本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</w:rPr>
              <w:t>产物</w:t>
            </w:r>
          </w:p>
        </w:tc>
      </w:tr>
      <w:tr>
        <w:tc>
          <w:tcPr>
            <w:tcW w:type="dxa" w:w="3324"/>
          </w:tcPr>
          <w:p>
            <w:r>
              <w:t>后端</w:t>
            </w:r>
          </w:p>
        </w:tc>
        <w:tc>
          <w:tcPr>
            <w:tcW w:type="dxa" w:w="3324"/>
          </w:tcPr>
          <w:p>
            <w:r>
              <w:t>Java 21 / Spring Boot 3.3.5</w:t>
            </w:r>
          </w:p>
        </w:tc>
        <w:tc>
          <w:tcPr>
            <w:tcW w:type="dxa" w:w="3324"/>
          </w:tcPr>
          <w:p>
            <w:r>
              <w:t>fleet-ops-backend-0.0.1-SNAPSHOT.jar</w:t>
            </w:r>
          </w:p>
        </w:tc>
      </w:tr>
      <w:tr>
        <w:tc>
          <w:tcPr>
            <w:tcW w:type="dxa" w:w="3324"/>
          </w:tcPr>
          <w:p>
            <w:r>
              <w:t>管理端</w:t>
            </w:r>
          </w:p>
        </w:tc>
        <w:tc>
          <w:tcPr>
            <w:tcW w:type="dxa" w:w="3324"/>
          </w:tcPr>
          <w:p>
            <w:r>
              <w:t>Vue 3.5.13 / Vite 6.0.3 / Node 22</w:t>
            </w:r>
          </w:p>
        </w:tc>
        <w:tc>
          <w:tcPr>
            <w:tcW w:type="dxa" w:w="3324"/>
          </w:tcPr>
          <w:p>
            <w:r>
              <w:t>admin-web/dist</w:t>
            </w:r>
          </w:p>
        </w:tc>
      </w:tr>
      <w:tr>
        <w:tc>
          <w:tcPr>
            <w:tcW w:type="dxa" w:w="3324"/>
          </w:tcPr>
          <w:p>
            <w:r>
              <w:t>数据库</w:t>
            </w:r>
          </w:p>
        </w:tc>
        <w:tc>
          <w:tcPr>
            <w:tcW w:type="dxa" w:w="3324"/>
          </w:tcPr>
          <w:p>
            <w:r>
              <w:t>MySQL JDBC + Flyway</w:t>
            </w:r>
          </w:p>
        </w:tc>
        <w:tc>
          <w:tcPr>
            <w:tcW w:type="dxa" w:w="3324"/>
          </w:tcPr>
          <w:p>
            <w:r>
              <w:t>fleet_ops</w:t>
            </w:r>
          </w:p>
        </w:tc>
      </w:tr>
      <w:tr>
        <w:tc>
          <w:tcPr>
            <w:tcW w:type="dxa" w:w="3324"/>
          </w:tcPr>
          <w:p>
            <w:r>
              <w:t>小程序</w:t>
            </w:r>
          </w:p>
        </w:tc>
        <w:tc>
          <w:tcPr>
            <w:tcW w:type="dxa" w:w="3324"/>
          </w:tcPr>
          <w:p>
            <w:r>
              <w:t>微信小程序</w:t>
            </w:r>
          </w:p>
        </w:tc>
        <w:tc>
          <w:tcPr>
            <w:tcW w:type="dxa" w:w="3324"/>
          </w:tcPr>
          <w:p>
            <w:r>
              <w:t>mini-program；当前 touristappid</w:t>
            </w:r>
          </w:p>
        </w:tc>
      </w:tr>
      <w:tr>
        <w:tc>
          <w:tcPr>
            <w:tcW w:type="dxa" w:w="3324"/>
          </w:tcPr>
          <w:p>
            <w:r>
              <w:t>附件</w:t>
            </w:r>
          </w:p>
        </w:tc>
        <w:tc>
          <w:tcPr>
            <w:tcW w:type="dxa" w:w="3324"/>
          </w:tcPr>
          <w:p>
            <w:r>
              <w:t>本地存储抽象</w:t>
            </w:r>
          </w:p>
        </w:tc>
        <w:tc>
          <w:tcPr>
            <w:tcW w:type="dxa" w:w="3324"/>
          </w:tcPr>
          <w:p>
            <w:r>
              <w:t>fleet.storage.local-root</w:t>
            </w:r>
          </w:p>
        </w:tc>
      </w:tr>
      <w:tr>
        <w:tc>
          <w:tcPr>
            <w:tcW w:type="dxa" w:w="3324"/>
          </w:tcPr>
          <w:p>
            <w:r>
              <w:t>OCR</w:t>
            </w:r>
          </w:p>
        </w:tc>
        <w:tc>
          <w:tcPr>
            <w:tcW w:type="dxa" w:w="3324"/>
          </w:tcPr>
          <w:p>
            <w:r>
              <w:t>记录与确认闭环</w:t>
            </w:r>
          </w:p>
        </w:tc>
        <w:tc>
          <w:tcPr>
            <w:tcW w:type="dxa" w:w="3324"/>
          </w:tcPr>
          <w:p>
            <w:r>
              <w:t>真实外部 OCR 尚未接入</w:t>
            </w:r>
          </w:p>
        </w:tc>
      </w:tr>
    </w:tbl>
    <w:p/>
    <w:p>
      <w:pPr>
        <w:pStyle w:val="Heading1"/>
      </w:pPr>
      <w:r>
        <w:t>3. 环境与关键配置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b/>
                <w:color w:val="FFFFFF"/>
              </w:rPr>
              <w:t>配置/环境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</w:rPr>
              <w:t>要求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t>JDK</w:t>
            </w:r>
          </w:p>
        </w:tc>
        <w:tc>
          <w:tcPr>
            <w:tcW w:type="dxa" w:w="3324"/>
          </w:tcPr>
          <w:p>
            <w:r>
              <w:t>21</w:t>
            </w:r>
          </w:p>
        </w:tc>
        <w:tc>
          <w:tcPr>
            <w:tcW w:type="dxa" w:w="3324"/>
          </w:tcPr>
          <w:p>
            <w:r>
              <w:t>本机验证 21.0.11</w:t>
            </w:r>
          </w:p>
        </w:tc>
      </w:tr>
      <w:tr>
        <w:tc>
          <w:tcPr>
            <w:tcW w:type="dxa" w:w="3324"/>
          </w:tcPr>
          <w:p>
            <w:r>
              <w:t>Maven</w:t>
            </w:r>
          </w:p>
        </w:tc>
        <w:tc>
          <w:tcPr>
            <w:tcW w:type="dxa" w:w="3324"/>
          </w:tcPr>
          <w:p>
            <w:r>
              <w:t>3.9.x</w:t>
            </w:r>
          </w:p>
        </w:tc>
        <w:tc>
          <w:tcPr>
            <w:tcW w:type="dxa" w:w="3324"/>
          </w:tcPr>
          <w:p>
            <w:r>
              <w:t>本机 3.9.16</w:t>
            </w:r>
          </w:p>
        </w:tc>
      </w:tr>
      <w:tr>
        <w:tc>
          <w:tcPr>
            <w:tcW w:type="dxa" w:w="3324"/>
          </w:tcPr>
          <w:p>
            <w:r>
              <w:t>Node/npm</w:t>
            </w:r>
          </w:p>
        </w:tc>
        <w:tc>
          <w:tcPr>
            <w:tcW w:type="dxa" w:w="3324"/>
          </w:tcPr>
          <w:p>
            <w:r>
              <w:t>Node 22 / npm 10</w:t>
            </w:r>
          </w:p>
        </w:tc>
        <w:tc>
          <w:tcPr>
            <w:tcW w:type="dxa" w:w="3324"/>
          </w:tcPr>
          <w:p>
            <w:r>
              <w:t>管理端构建</w:t>
            </w:r>
          </w:p>
        </w:tc>
      </w:tr>
      <w:tr>
        <w:tc>
          <w:tcPr>
            <w:tcW w:type="dxa" w:w="3324"/>
          </w:tcPr>
          <w:p>
            <w:r>
              <w:t>FLEET_DB_URL</w:t>
            </w:r>
          </w:p>
        </w:tc>
        <w:tc>
          <w:tcPr>
            <w:tcW w:type="dxa" w:w="3324"/>
          </w:tcPr>
          <w:p>
            <w:r>
              <w:t>生产必填</w:t>
            </w:r>
          </w:p>
        </w:tc>
        <w:tc>
          <w:tcPr>
            <w:tcW w:type="dxa" w:w="3324"/>
          </w:tcPr>
          <w:p>
            <w:r>
              <w:t>MySQL JDBC</w:t>
            </w:r>
          </w:p>
        </w:tc>
      </w:tr>
      <w:tr>
        <w:tc>
          <w:tcPr>
            <w:tcW w:type="dxa" w:w="3324"/>
          </w:tcPr>
          <w:p>
            <w:r>
              <w:t>FLEET_DB_USERNAME</w:t>
            </w:r>
          </w:p>
        </w:tc>
        <w:tc>
          <w:tcPr>
            <w:tcW w:type="dxa" w:w="3324"/>
          </w:tcPr>
          <w:p>
            <w:r>
              <w:t>生产必填</w:t>
            </w:r>
          </w:p>
        </w:tc>
        <w:tc>
          <w:tcPr>
            <w:tcW w:type="dxa" w:w="3324"/>
          </w:tcPr>
          <w:p>
            <w:r>
              <w:t>专用账号</w:t>
            </w:r>
          </w:p>
        </w:tc>
      </w:tr>
      <w:tr>
        <w:tc>
          <w:tcPr>
            <w:tcW w:type="dxa" w:w="3324"/>
          </w:tcPr>
          <w:p>
            <w:r>
              <w:t>FLEET_DB_PASSWORD</w:t>
            </w:r>
          </w:p>
        </w:tc>
        <w:tc>
          <w:tcPr>
            <w:tcW w:type="dxa" w:w="3324"/>
          </w:tcPr>
          <w:p>
            <w:r>
              <w:t>生产必填</w:t>
            </w:r>
          </w:p>
        </w:tc>
        <w:tc>
          <w:tcPr>
            <w:tcW w:type="dxa" w:w="3324"/>
          </w:tcPr>
          <w:p>
            <w:r>
              <w:t>禁止默认弱口令</w:t>
            </w:r>
          </w:p>
        </w:tc>
      </w:tr>
      <w:tr>
        <w:tc>
          <w:tcPr>
            <w:tcW w:type="dxa" w:w="3324"/>
          </w:tcPr>
          <w:p>
            <w:r>
              <w:t>FLEET_FLYWAY_ENABLED</w:t>
            </w:r>
          </w:p>
        </w:tc>
        <w:tc>
          <w:tcPr>
            <w:tcW w:type="dxa" w:w="3324"/>
          </w:tcPr>
          <w:p>
            <w:r>
              <w:t>明确策略后设置</w:t>
            </w:r>
          </w:p>
        </w:tc>
        <w:tc>
          <w:tcPr>
            <w:tcW w:type="dxa" w:w="3324"/>
          </w:tcPr>
          <w:p>
            <w:r>
              <w:t>默认 false</w:t>
            </w:r>
          </w:p>
        </w:tc>
      </w:tr>
      <w:tr>
        <w:tc>
          <w:tcPr>
            <w:tcW w:type="dxa" w:w="3324"/>
          </w:tcPr>
          <w:p>
            <w:r>
              <w:t>SERVER_PORT</w:t>
            </w:r>
          </w:p>
        </w:tc>
        <w:tc>
          <w:tcPr>
            <w:tcW w:type="dxa" w:w="3324"/>
          </w:tcPr>
          <w:p>
            <w:r>
              <w:t>可选</w:t>
            </w:r>
          </w:p>
        </w:tc>
        <w:tc>
          <w:tcPr>
            <w:tcW w:type="dxa" w:w="3324"/>
          </w:tcPr>
          <w:p>
            <w:r>
              <w:t>默认 8080</w:t>
            </w:r>
          </w:p>
        </w:tc>
      </w:tr>
      <w:tr>
        <w:tc>
          <w:tcPr>
            <w:tcW w:type="dxa" w:w="3324"/>
          </w:tcPr>
          <w:p>
            <w:r>
              <w:t>FLEET_STORAGE_LOCAL_ROOT</w:t>
            </w:r>
          </w:p>
        </w:tc>
        <w:tc>
          <w:tcPr>
            <w:tcW w:type="dxa" w:w="3324"/>
          </w:tcPr>
          <w:p>
            <w:r>
              <w:t>生产必填</w:t>
            </w:r>
          </w:p>
        </w:tc>
        <w:tc>
          <w:tcPr>
            <w:tcW w:type="dxa" w:w="3324"/>
          </w:tcPr>
          <w:p>
            <w:r>
              <w:t>稳定附件目录</w:t>
            </w:r>
          </w:p>
        </w:tc>
      </w:tr>
      <w:tr>
        <w:tc>
          <w:tcPr>
            <w:tcW w:type="dxa" w:w="3324"/>
          </w:tcPr>
          <w:p>
            <w:r>
              <w:t>VITE_API_BASE_URL</w:t>
            </w:r>
          </w:p>
        </w:tc>
        <w:tc>
          <w:tcPr>
            <w:tcW w:type="dxa" w:w="3324"/>
          </w:tcPr>
          <w:p>
            <w:r>
              <w:t>管理端构建必填</w:t>
            </w:r>
          </w:p>
        </w:tc>
        <w:tc>
          <w:tcPr>
            <w:tcW w:type="dxa" w:w="3324"/>
          </w:tcPr>
          <w:p>
            <w:r>
              <w:t>禁止 localhost</w:t>
            </w:r>
          </w:p>
        </w:tc>
      </w:tr>
    </w:tbl>
    <w:p/>
    <w:p>
      <w:pPr>
        <w:pStyle w:val="Heading1"/>
      </w:pPr>
      <w:r>
        <w:t>4. 数据库初始化</w:t>
      </w:r>
    </w:p>
    <w:p>
      <w:pPr>
        <w:pStyle w:val="ListBullet"/>
      </w:pPr>
      <w:r>
        <w:t>数据库名 fleet_ops。</w:t>
      </w:r>
    </w:p>
    <w:p>
      <w:pPr>
        <w:pStyle w:val="ListBullet"/>
      </w:pPr>
      <w:r>
        <w:t>方式 A：手工执行 database/database.sql。</w:t>
      </w:r>
    </w:p>
    <w:p>
      <w:pPr>
        <w:pStyle w:val="ListBullet"/>
      </w:pPr>
      <w:r>
        <w:t>方式 B：空库启用 Flyway，执行 V1__baseline_schema.sql。</w:t>
      </w:r>
    </w:p>
    <w:p>
      <w:pPr>
        <w:pStyle w:val="ListBullet"/>
      </w:pPr>
      <w:r>
        <w:t>两种方式二选一，避免重复初始化。</w:t>
      </w:r>
    </w:p>
    <w:p>
      <w:pPr>
        <w:pStyle w:val="Heading1"/>
      </w:pPr>
      <w:r>
        <w:t>5. 后端构建、启动与健康检查</w:t>
      </w:r>
    </w:p>
    <w:p>
      <w:pPr>
        <w:pStyle w:val="IntenseQuote"/>
      </w:pPr>
      <w:r>
        <w:t>mvn test</w:t>
        <w:br/>
        <w:t>mvn package</w:t>
      </w:r>
    </w:p>
    <w:p>
      <w:pPr>
        <w:pStyle w:val="IntenseQuote"/>
      </w:pPr>
      <w:r>
        <w:t>java -jar backend/target/fleet-ops-backend-0.0.1-SNAPSHOT.jar</w:t>
      </w:r>
    </w:p>
    <w:p>
      <w:r>
        <w:t>健康检查优先 GET /actuator/health；/api/v1/system/ping 当前需要认证。</w:t>
      </w:r>
    </w:p>
    <w:p>
      <w:pPr>
        <w:pStyle w:val="Heading1"/>
      </w:pPr>
      <w:r>
        <w:t>6. 附件存储</w:t>
      </w:r>
    </w:p>
    <w:p>
      <w:pPr>
        <w:pStyle w:val="ListBullet"/>
      </w:pPr>
      <w:r>
        <w:t>文件本体不入数据库，数据库保存 file_attachment 元数据与 storage_key。</w:t>
      </w:r>
    </w:p>
    <w:p>
      <w:pPr>
        <w:pStyle w:val="ListBullet"/>
      </w:pPr>
      <w:r>
        <w:t>默认临时目录仅适合开发；生产必须设置 FLEET_STORAGE_LOCAL_ROOT。</w:t>
      </w:r>
    </w:p>
    <w:p>
      <w:pPr>
        <w:pStyle w:val="ListBullet"/>
      </w:pPr>
      <w:r>
        <w:t>数据库和附件目录必须按同一恢复点备份/恢复。</w:t>
      </w:r>
    </w:p>
    <w:p>
      <w:pPr>
        <w:pStyle w:val="Heading1"/>
      </w:pPr>
      <w:r>
        <w:t>7. OCR 当前状态（重要）</w:t>
      </w:r>
    </w:p>
    <w:p>
      <w:r>
        <w:rPr>
          <w:b/>
          <w:color w:val="C00000"/>
        </w:rPr>
        <w:t>当前未接入真实第三方 OCR 服务。</w:t>
      </w:r>
    </w:p>
    <w:p>
      <w:r>
        <w:t>现有系统已完成胎号 OCR 结果记录、确认和换胎业务闭环，但识别结果由调用方传入。若上线要求司机拍照后自动识别胎号，必须先接入真实 OCR Provider，并完成实拍准确率、失败重试和人工确认验收。</w:t>
      </w:r>
    </w:p>
    <w:p>
      <w:pPr>
        <w:pStyle w:val="Heading1"/>
      </w:pPr>
      <w:r>
        <w:t>8. 管理端与小程序部署</w:t>
      </w:r>
    </w:p>
    <w:p>
      <w:pPr>
        <w:pStyle w:val="ListBullet"/>
      </w:pPr>
      <w:r>
        <w:t>管理端：设置 VITE_API_BASE_URL，执行 test/build，将 admin-web/dist 发布到静态服务器。</w:t>
      </w:r>
    </w:p>
    <w:p>
      <w:pPr>
        <w:pStyle w:val="ListBullet"/>
      </w:pPr>
      <w:r>
        <w:t>小程序：修改 app.js baseUrl；将 touristappid 替换为正式 AppID；配置 HTTPS 合法 request/uploadFile 域名。</w:t>
      </w:r>
    </w:p>
    <w:p>
      <w:pPr>
        <w:pStyle w:val="ListBullet"/>
      </w:pPr>
      <w:r>
        <w:t>必须使用微信开发者工具和真实手机验证登录、上传、线路、称重、换胎、审批。</w:t>
      </w:r>
    </w:p>
    <w:p>
      <w:pPr>
        <w:pStyle w:val="Heading1"/>
      </w:pPr>
      <w:r>
        <w:t>9. 初始化账号、角色与权限</w:t>
      </w:r>
    </w:p>
    <w:p>
      <w:r>
        <w:t>当前数据库基线未提供生产 seed。部署前至少准备管理员账号、角色、权限注册数据和角色权限绑定。密码使用 BCrypt，建议通过一次性受控 SQL/脚本初始化。</w:t>
      </w:r>
    </w:p>
    <w:p>
      <w:pPr>
        <w:pStyle w:val="Heading1"/>
      </w:pPr>
      <w:r>
        <w:t>10. 域名、HTTPS、日志与监控</w:t>
      </w:r>
    </w:p>
    <w:p>
      <w:pPr>
        <w:pStyle w:val="ListBullet"/>
      </w:pPr>
      <w:r>
        <w:t>仓库未提供 Nginx/HTTPS 配置，需由部署环境提供。</w:t>
      </w:r>
    </w:p>
    <w:p>
      <w:pPr>
        <w:pStyle w:val="ListBullet"/>
      </w:pPr>
      <w:r>
        <w:t>小程序必须使用 HTTPS 合法域名。</w:t>
      </w:r>
    </w:p>
    <w:p>
      <w:pPr>
        <w:pStyle w:val="ListBullet"/>
      </w:pPr>
      <w:r>
        <w:t>后端默认 stdout 日志，包含 requestId；生产需配置采集、轮转和保留。</w:t>
      </w:r>
    </w:p>
    <w:p>
      <w:pPr>
        <w:pStyle w:val="ListBullet"/>
      </w:pPr>
      <w:r>
        <w:t>建议监控进程、端口、数据库连接、磁盘和附件目录容量。</w:t>
      </w:r>
    </w:p>
    <w:p>
      <w:pPr>
        <w:pStyle w:val="Heading1"/>
      </w:pPr>
      <w:r>
        <w:t>11. 备份与恢复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b/>
                <w:color w:val="FFFFFF"/>
              </w:rPr>
              <w:t>对象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</w:rPr>
              <w:t>备份要求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</w:rPr>
              <w:t>恢复重点</w:t>
            </w:r>
          </w:p>
        </w:tc>
      </w:tr>
      <w:tr>
        <w:tc>
          <w:tcPr>
            <w:tcW w:type="dxa" w:w="3324"/>
          </w:tcPr>
          <w:p>
            <w:r>
              <w:t>MySQL fleet_ops</w:t>
            </w:r>
          </w:p>
        </w:tc>
        <w:tc>
          <w:tcPr>
            <w:tcW w:type="dxa" w:w="3324"/>
          </w:tcPr>
          <w:p>
            <w:r>
              <w:t>定期全量/必要增量</w:t>
            </w:r>
          </w:p>
        </w:tc>
        <w:tc>
          <w:tcPr>
            <w:tcW w:type="dxa" w:w="3324"/>
          </w:tcPr>
          <w:p>
            <w:r>
              <w:t>schema 与发布版本匹配</w:t>
            </w:r>
          </w:p>
        </w:tc>
      </w:tr>
      <w:tr>
        <w:tc>
          <w:tcPr>
            <w:tcW w:type="dxa" w:w="3324"/>
          </w:tcPr>
          <w:p>
            <w:r>
              <w:t>附件目录</w:t>
            </w:r>
          </w:p>
        </w:tc>
        <w:tc>
          <w:tcPr>
            <w:tcW w:type="dxa" w:w="3324"/>
          </w:tcPr>
          <w:p>
            <w:r>
              <w:t>与数据库同周期</w:t>
            </w:r>
          </w:p>
        </w:tc>
        <w:tc>
          <w:tcPr>
            <w:tcW w:type="dxa" w:w="3324"/>
          </w:tcPr>
          <w:p>
            <w:r>
              <w:t>storage_key 与真实文件一致</w:t>
            </w:r>
          </w:p>
        </w:tc>
      </w:tr>
      <w:tr>
        <w:tc>
          <w:tcPr>
            <w:tcW w:type="dxa" w:w="3324"/>
          </w:tcPr>
          <w:p>
            <w:r>
              <w:t>后端 JAR/配置</w:t>
            </w:r>
          </w:p>
        </w:tc>
        <w:tc>
          <w:tcPr>
            <w:tcW w:type="dxa" w:w="3324"/>
          </w:tcPr>
          <w:p>
            <w:r>
              <w:t>每版留档</w:t>
            </w:r>
          </w:p>
        </w:tc>
        <w:tc>
          <w:tcPr>
            <w:tcW w:type="dxa" w:w="3324"/>
          </w:tcPr>
          <w:p>
            <w:r>
              <w:t>支持回滚</w:t>
            </w:r>
          </w:p>
        </w:tc>
      </w:tr>
      <w:tr>
        <w:tc>
          <w:tcPr>
            <w:tcW w:type="dxa" w:w="3324"/>
          </w:tcPr>
          <w:p>
            <w:r>
              <w:t>管理端 dist</w:t>
            </w:r>
          </w:p>
        </w:tc>
        <w:tc>
          <w:tcPr>
            <w:tcW w:type="dxa" w:w="3324"/>
          </w:tcPr>
          <w:p>
            <w:r>
              <w:t>每版留档</w:t>
            </w:r>
          </w:p>
        </w:tc>
        <w:tc>
          <w:tcPr>
            <w:tcW w:type="dxa" w:w="3324"/>
          </w:tcPr>
          <w:p>
            <w:r>
              <w:t>与 API 版本匹配</w:t>
            </w:r>
          </w:p>
        </w:tc>
      </w:tr>
      <w:tr>
        <w:tc>
          <w:tcPr>
            <w:tcW w:type="dxa" w:w="3324"/>
          </w:tcPr>
          <w:p>
            <w:r>
              <w:t>小程序版本</w:t>
            </w:r>
          </w:p>
        </w:tc>
        <w:tc>
          <w:tcPr>
            <w:tcW w:type="dxa" w:w="3324"/>
          </w:tcPr>
          <w:p>
            <w:r>
              <w:t>平台留档</w:t>
            </w:r>
          </w:p>
        </w:tc>
        <w:tc>
          <w:tcPr>
            <w:tcW w:type="dxa" w:w="3324"/>
          </w:tcPr>
          <w:p>
            <w:r>
              <w:t>保留可回退版本</w:t>
            </w:r>
          </w:p>
        </w:tc>
      </w:tr>
    </w:tbl>
    <w:p/>
    <w:p>
      <w:pPr>
        <w:pStyle w:val="Heading1"/>
      </w:pPr>
      <w:r>
        <w:t>12. 测试环境推荐部署顺序</w:t>
      </w:r>
    </w:p>
    <w:p>
      <w:r>
        <w:t>1. 准备 JDK 21、MySQL、Node 22。</w:t>
      </w:r>
    </w:p>
    <w:p>
      <w:r>
        <w:t>2. 创建 fleet_ops 和专用账号。</w:t>
      </w:r>
    </w:p>
    <w:p>
      <w:r>
        <w:t>3. 选择 SQL 或 Flyway 初始化。</w:t>
      </w:r>
    </w:p>
    <w:p>
      <w:r>
        <w:t>4. 设置 DB、端口、附件目录。</w:t>
      </w:r>
    </w:p>
    <w:p>
      <w:r>
        <w:t>5. mvn test &amp;&amp; mvn package，启动后端。</w:t>
      </w:r>
    </w:p>
    <w:p>
      <w:r>
        <w:t>6. 检查 /actuator/health。</w:t>
      </w:r>
    </w:p>
    <w:p>
      <w:r>
        <w:t>7. 初始化管理员、角色、权限。</w:t>
      </w:r>
    </w:p>
    <w:p>
      <w:r>
        <w:t>8. 设置 VITE_API_BASE_URL，构建并发布管理端。</w:t>
      </w:r>
    </w:p>
    <w:p>
      <w:r>
        <w:t>9. 配置测试域名、HTTPS、反向代理。</w:t>
      </w:r>
    </w:p>
    <w:p>
      <w:r>
        <w:t>10. 修改小程序 baseUrl 与 AppID，开发者工具联调。</w:t>
      </w:r>
    </w:p>
    <w:p>
      <w:r>
        <w:t>11. 执行 UAT。</w:t>
      </w:r>
    </w:p>
    <w:p>
      <w:r>
        <w:t>12. 开启数据库与附件备份。</w:t>
      </w:r>
    </w:p>
    <w:p>
      <w:pPr>
        <w:pStyle w:val="Heading1"/>
      </w:pPr>
      <w:r>
        <w:t>13. 生产上线前检查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</w:tcPr>
          <w:p>
            <w:r>
              <w:rPr>
                <w:b/>
                <w:color w:val="FFFFFF"/>
              </w:rPr>
              <w:t>检查项</w:t>
            </w:r>
          </w:p>
        </w:tc>
        <w:tc>
          <w:tcPr>
            <w:tcW w:type="dxa" w:w="4986"/>
            <w:shd w:fill="1F4E78"/>
          </w:tcPr>
          <w:p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4986"/>
          </w:tcPr>
          <w:p>
            <w:r>
              <w:t>localhost/默认 DB 配置已替换</w:t>
            </w:r>
          </w:p>
        </w:tc>
        <w:tc>
          <w:tcPr>
            <w:tcW w:type="dxa" w:w="4986"/>
          </w:tcPr>
          <w:p>
            <w:r>
              <w:t>□</w:t>
            </w:r>
          </w:p>
        </w:tc>
      </w:tr>
      <w:tr>
        <w:tc>
          <w:tcPr>
            <w:tcW w:type="dxa" w:w="4986"/>
          </w:tcPr>
          <w:p>
            <w:r>
              <w:t>生产 DB 专用账号密码已配置</w:t>
            </w:r>
          </w:p>
        </w:tc>
        <w:tc>
          <w:tcPr>
            <w:tcW w:type="dxa" w:w="4986"/>
          </w:tcPr>
          <w:p>
            <w:r>
              <w:t>□</w:t>
            </w:r>
          </w:p>
        </w:tc>
      </w:tr>
      <w:tr>
        <w:tc>
          <w:tcPr>
            <w:tcW w:type="dxa" w:w="4986"/>
          </w:tcPr>
          <w:p>
            <w:r>
              <w:t>附件稳定目录及权限正确</w:t>
            </w:r>
          </w:p>
        </w:tc>
        <w:tc>
          <w:tcPr>
            <w:tcW w:type="dxa" w:w="4986"/>
          </w:tcPr>
          <w:p>
            <w:r>
              <w:t>□</w:t>
            </w:r>
          </w:p>
        </w:tc>
      </w:tr>
      <w:tr>
        <w:tc>
          <w:tcPr>
            <w:tcW w:type="dxa" w:w="4986"/>
          </w:tcPr>
          <w:p>
            <w:r>
              <w:t>正式域名/HTTPS/Nginx 已配置</w:t>
            </w:r>
          </w:p>
        </w:tc>
        <w:tc>
          <w:tcPr>
            <w:tcW w:type="dxa" w:w="4986"/>
          </w:tcPr>
          <w:p>
            <w:r>
              <w:t>□</w:t>
            </w:r>
          </w:p>
        </w:tc>
      </w:tr>
      <w:tr>
        <w:tc>
          <w:tcPr>
            <w:tcW w:type="dxa" w:w="4986"/>
          </w:tcPr>
          <w:p>
            <w:r>
              <w:t>小程序正式 AppID 与合法域名已配置</w:t>
            </w:r>
          </w:p>
        </w:tc>
        <w:tc>
          <w:tcPr>
            <w:tcW w:type="dxa" w:w="4986"/>
          </w:tcPr>
          <w:p>
            <w:r>
              <w:t>□</w:t>
            </w:r>
          </w:p>
        </w:tc>
      </w:tr>
      <w:tr>
        <w:tc>
          <w:tcPr>
            <w:tcW w:type="dxa" w:w="4986"/>
          </w:tcPr>
          <w:p>
            <w:r>
              <w:t>真实 OCR 已接入并验收（若要求自动识别）</w:t>
            </w:r>
          </w:p>
        </w:tc>
        <w:tc>
          <w:tcPr>
            <w:tcW w:type="dxa" w:w="4986"/>
          </w:tcPr>
          <w:p>
            <w:r>
              <w:t>□</w:t>
            </w:r>
          </w:p>
        </w:tc>
      </w:tr>
      <w:tr>
        <w:tc>
          <w:tcPr>
            <w:tcW w:type="dxa" w:w="4986"/>
          </w:tcPr>
          <w:p>
            <w:r>
              <w:t>管理员/角色/权限初始化完成</w:t>
            </w:r>
          </w:p>
        </w:tc>
        <w:tc>
          <w:tcPr>
            <w:tcW w:type="dxa" w:w="4986"/>
          </w:tcPr>
          <w:p>
            <w:r>
              <w:t>□</w:t>
            </w:r>
          </w:p>
        </w:tc>
      </w:tr>
      <w:tr>
        <w:tc>
          <w:tcPr>
            <w:tcW w:type="dxa" w:w="4986"/>
          </w:tcPr>
          <w:p>
            <w:r>
              <w:t>日志采集与轮转完成</w:t>
            </w:r>
          </w:p>
        </w:tc>
        <w:tc>
          <w:tcPr>
            <w:tcW w:type="dxa" w:w="4986"/>
          </w:tcPr>
          <w:p>
            <w:r>
              <w:t>□</w:t>
            </w:r>
          </w:p>
        </w:tc>
      </w:tr>
      <w:tr>
        <w:tc>
          <w:tcPr>
            <w:tcW w:type="dxa" w:w="4986"/>
          </w:tcPr>
          <w:p>
            <w:r>
              <w:t>MySQL+附件备份启用</w:t>
            </w:r>
          </w:p>
        </w:tc>
        <w:tc>
          <w:tcPr>
            <w:tcW w:type="dxa" w:w="4986"/>
          </w:tcPr>
          <w:p>
            <w:r>
              <w:t>□</w:t>
            </w:r>
          </w:p>
        </w:tc>
      </w:tr>
      <w:tr>
        <w:tc>
          <w:tcPr>
            <w:tcW w:type="dxa" w:w="4986"/>
          </w:tcPr>
          <w:p>
            <w:r>
              <w:t>UAT 通过并签字</w:t>
            </w:r>
          </w:p>
        </w:tc>
        <w:tc>
          <w:tcPr>
            <w:tcW w:type="dxa" w:w="4986"/>
          </w:tcPr>
          <w:p>
            <w:r>
              <w:t>□</w:t>
            </w:r>
          </w:p>
        </w:tc>
      </w:tr>
      <w:tr>
        <w:tc>
          <w:tcPr>
            <w:tcW w:type="dxa" w:w="4986"/>
          </w:tcPr>
          <w:p>
            <w:r>
              <w:t>回滚包与恢复方案已准备</w:t>
            </w:r>
          </w:p>
        </w:tc>
        <w:tc>
          <w:tcPr>
            <w:tcW w:type="dxa" w:w="4986"/>
          </w:tcPr>
          <w:p>
            <w:r>
              <w:t>□</w:t>
            </w:r>
          </w:p>
        </w:tc>
      </w:tr>
    </w:tbl>
    <w:p/>
    <w:p>
      <w:pPr>
        <w:pStyle w:val="Heading1"/>
      </w:pPr>
      <w:r>
        <w:t>14. 当前上线风险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b/>
                <w:color w:val="FFFFFF"/>
              </w:rPr>
              <w:t>级别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</w:rPr>
              <w:t>事项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</w:rPr>
              <w:t>处理</w:t>
            </w:r>
          </w:p>
        </w:tc>
      </w:tr>
      <w:tr>
        <w:tc>
          <w:tcPr>
            <w:tcW w:type="dxa" w:w="3324"/>
          </w:tcPr>
          <w:p>
            <w:r>
              <w:t>高</w:t>
            </w:r>
          </w:p>
        </w:tc>
        <w:tc>
          <w:tcPr>
            <w:tcW w:type="dxa" w:w="3324"/>
          </w:tcPr>
          <w:p>
            <w:r>
              <w:t>真实 OCR 未接入</w:t>
            </w:r>
          </w:p>
        </w:tc>
        <w:tc>
          <w:tcPr>
            <w:tcW w:type="dxa" w:w="3324"/>
          </w:tcPr>
          <w:p>
            <w:r>
              <w:t>若自动识别为必需，先接 Provider 并实拍验收</w:t>
            </w:r>
          </w:p>
        </w:tc>
      </w:tr>
      <w:tr>
        <w:tc>
          <w:tcPr>
            <w:tcW w:type="dxa" w:w="3324"/>
          </w:tcPr>
          <w:p>
            <w:r>
              <w:t>高</w:t>
            </w:r>
          </w:p>
        </w:tc>
        <w:tc>
          <w:tcPr>
            <w:tcW w:type="dxa" w:w="3324"/>
          </w:tcPr>
          <w:p>
            <w:r>
              <w:t>正式域名/HTTPS/AppID 未配置</w:t>
            </w:r>
          </w:p>
        </w:tc>
        <w:tc>
          <w:tcPr>
            <w:tcW w:type="dxa" w:w="3324"/>
          </w:tcPr>
          <w:p>
            <w:r>
              <w:t>生产前完成</w:t>
            </w:r>
          </w:p>
        </w:tc>
      </w:tr>
      <w:tr>
        <w:tc>
          <w:tcPr>
            <w:tcW w:type="dxa" w:w="3324"/>
          </w:tcPr>
          <w:p>
            <w:r>
              <w:t>高</w:t>
            </w:r>
          </w:p>
        </w:tc>
        <w:tc>
          <w:tcPr>
            <w:tcW w:type="dxa" w:w="3324"/>
          </w:tcPr>
          <w:p>
            <w:r>
              <w:t>无生产 seed</w:t>
            </w:r>
          </w:p>
        </w:tc>
        <w:tc>
          <w:tcPr>
            <w:tcW w:type="dxa" w:w="3324"/>
          </w:tcPr>
          <w:p>
            <w:r>
              <w:t>准备初始化脚本</w:t>
            </w:r>
          </w:p>
        </w:tc>
      </w:tr>
      <w:tr>
        <w:tc>
          <w:tcPr>
            <w:tcW w:type="dxa" w:w="3324"/>
          </w:tcPr>
          <w:p>
            <w:r>
              <w:t>中</w:t>
            </w:r>
          </w:p>
        </w:tc>
        <w:tc>
          <w:tcPr>
            <w:tcW w:type="dxa" w:w="3324"/>
          </w:tcPr>
          <w:p>
            <w:r>
              <w:t>附件默认临时目录</w:t>
            </w:r>
          </w:p>
        </w:tc>
        <w:tc>
          <w:tcPr>
            <w:tcW w:type="dxa" w:w="3324"/>
          </w:tcPr>
          <w:p>
            <w:r>
              <w:t>设置持久目录</w:t>
            </w:r>
          </w:p>
        </w:tc>
      </w:tr>
      <w:tr>
        <w:tc>
          <w:tcPr>
            <w:tcW w:type="dxa" w:w="3324"/>
          </w:tcPr>
          <w:p>
            <w:r>
              <w:t>中</w:t>
            </w:r>
          </w:p>
        </w:tc>
        <w:tc>
          <w:tcPr>
            <w:tcW w:type="dxa" w:w="3324"/>
          </w:tcPr>
          <w:p>
            <w:r>
              <w:t>无文件日志配置</w:t>
            </w:r>
          </w:p>
        </w:tc>
        <w:tc>
          <w:tcPr>
            <w:tcW w:type="dxa" w:w="3324"/>
          </w:tcPr>
          <w:p>
            <w:r>
              <w:t>部署日志采集/轮转</w:t>
            </w:r>
          </w:p>
        </w:tc>
      </w:tr>
      <w:tr>
        <w:tc>
          <w:tcPr>
            <w:tcW w:type="dxa" w:w="3324"/>
          </w:tcPr>
          <w:p>
            <w:r>
              <w:t>中</w:t>
            </w:r>
          </w:p>
        </w:tc>
        <w:tc>
          <w:tcPr>
            <w:tcW w:type="dxa" w:w="3324"/>
          </w:tcPr>
          <w:p>
            <w:r>
              <w:t>MySQL 版本未锁定</w:t>
            </w:r>
          </w:p>
        </w:tc>
        <w:tc>
          <w:tcPr>
            <w:tcW w:type="dxa" w:w="3324"/>
          </w:tcPr>
          <w:p>
            <w:r>
              <w:t>固定测试通过版本并记录</w:t>
            </w:r>
          </w:p>
        </w:tc>
      </w:tr>
    </w:tbl>
    <w:p/>
    <w:sectPr w:rsidR="00FC693F" w:rsidRPr="0006063C" w:rsidSect="00034616"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