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sdt>
        <w:sdtPr>
          <w:alias w:val="Author approved article title"/>
          <w:tag w:val="author-locked-v28-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spacing w:after="80"/>
        <w:jc w:val="left"/>
      </w:pPr>
      <w:sdt>
        <w:sdtPr>
          <w:alias w:val="Author approved name"/>
          <w:tag w:val="author-locked-v28-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8-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8-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8-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8-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28-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jc w:val="left"/>
      </w:pPr>
      <w:r>
        <w:t>1 Institute of Chemistry, University of Tartu, Ravila 14a, 50411 Tartu, Estonia</w:t>
      </w:r>
    </w:p>
    <w:p>
      <w:pPr>
        <w:jc w:val="left"/>
      </w:pPr>
      <w:r>
        <w:t>2 Department of Chemistry, University of Latvia, Jelgavas iela 1, Riga, LV-1004, Latvia</w:t>
      </w:r>
    </w:p>
    <w:p>
      <w:pPr>
        <w:widowControl/>
        <w:jc w:val="left"/>
      </w:pPr>
      <w:r>
        <w:rPr>
          <w:rFonts w:ascii="Cambria" w:hAnsi="Cambria" w:eastAsia="Cambria"/>
          <w:i w:val="0"/>
          <w:color w:val="000000"/>
          <w:sz w:val="22"/>
        </w:rPr>
        <w:t>Corresponding authors: nadezda.kongi@ut.ee; vladislav.ivanistsev@lu.lv</w:t>
      </w:r>
    </w:p>
    <w:p>
      <w:pPr>
        <w:pStyle w:val="Heading1"/>
        <w:keepNext/>
        <w:jc w:val="left"/>
      </w:pPr>
      <w:r>
        <w:rPr>
          <w:rFonts w:ascii="Cambria" w:hAnsi="Cambria" w:eastAsia="Cambria"/>
          <w:b/>
          <w:color w:val="000000"/>
          <w:sz w:val="24"/>
        </w:rPr>
        <w:t>Abstract</w:t>
      </w:r>
    </w:p>
    <w:p>
      <w:pPr>
        <w:widowControl/>
        <w:jc w:val="both"/>
      </w:pPr>
      <w:r>
        <w:rPr>
          <w:rFonts w:ascii="Cambria" w:hAnsi="Cambria" w:eastAsia="Cambria"/>
          <w:i w:val="0"/>
          <w:color w:val="000000"/>
          <w:sz w:val="22"/>
        </w:rPr>
        <w:t>We compare molecular catalysts for the oxygen reduction reaction using adsorption thermodynamics resolved by catalyst and adsorption site. Exact matching supports scaling analysis and conventional computational hydrogen electrode estimates, while reusable records permit alternative activity descriptors to be evaluated from the same calculations. The working dataset gives distinct O–OH and OOH–OH scaling relations and a provisional minimum overpotential of 0.34 V. The available hydroxyl regression comparison remains exploratory because independent validation has not been established. We also describe how a language model helped assemble a research account from a defined evidence base. These results show the value of preserving calculation identity and verifying each analysis; numerical conclusions remain provisional pending replacement and audit of the working data.</w:t>
      </w:r>
    </w:p>
    <w:p>
      <w:pPr>
        <w:widowControl/>
        <w:jc w:val="both"/>
      </w:pPr>
      <w:r>
        <w:rPr>
          <w:rFonts w:ascii="Cambria" w:hAnsi="Cambria" w:eastAsia="Cambria"/>
          <w:i w:val="0"/>
          <w:color w:val="000000"/>
          <w:sz w:val="22"/>
        </w:rPr>
        <w:t>Keywords: artificial intelligence; computational hydrogen electrode; density functional theory; machine learning; oxygen reduction reaction; molecular dual-atom site catalysts</w:t>
      </w:r>
    </w:p>
    <w:p>
      <w:pPr>
        <w:pStyle w:val="Heading1"/>
        <w:keepNext/>
        <w:jc w:val="left"/>
      </w:pPr>
      <w:r>
        <w:rPr>
          <w:rFonts w:ascii="Cambria" w:hAnsi="Cambria" w:eastAsia="Cambria"/>
          <w:b/>
          <w:color w:val="000000"/>
          <w:sz w:val="24"/>
        </w:rPr>
        <w:t>1. Introduction</w:t>
      </w:r>
    </w:p>
    <w:p>
      <w:pPr>
        <w:widowControl/>
        <w:jc w:val="both"/>
      </w:pPr>
      <w:r>
        <w:rPr>
          <w:rFonts w:ascii="Cambria" w:hAnsi="Cambria" w:eastAsia="Cambria"/>
          <w:i w:val="0"/>
          <w:color w:val="000000"/>
          <w:sz w:val="22"/>
        </w:rPr>
        <w:t xml:space="preserve">The oxygen reduction reaction (ORR) remains a central electrocatalytic process, and its calculated activity depends on the free energies of adsorbed oxygen intermediates. Scaling relations constrain how these intermediates can be stabilized together </w:t>
      </w:r>
      <w:hyperlink r:id="rId10">
        <w:r>
          <w:rPr>
            <w:rFonts w:ascii="Cambria" w:hAnsi="Cambria"/>
            <w:color w:val="000000"/>
            <w:u w:val="single"/>
          </w:rPr>
          <w:t>[10.1021/jp047349j]</w:t>
        </w:r>
      </w:hyperlink>
      <w:r>
        <w:rPr>
          <w:rFonts w:ascii="Cambria" w:hAnsi="Cambria" w:eastAsia="Cambria"/>
          <w:i w:val="0"/>
          <w:color w:val="000000"/>
          <w:sz w:val="22"/>
        </w:rPr>
        <w:t xml:space="preserve">, while molecular dual-atom site catalysts offer a defined setting to compare metal identity, bridge composition, diamine, and adsorption site. Studies of molecular catalysts report that the second metal and the local binding geometry can influence ORR thermodynamics </w:t>
      </w:r>
      <w:hyperlink r:id="rId11">
        <w:r>
          <w:rPr>
            <w:rFonts w:ascii="Cambria" w:hAnsi="Cambria"/>
            <w:color w:val="000000"/>
            <w:u w:val="single"/>
          </w:rPr>
          <w:t>[10.1021/jacs.4c12705]</w:t>
        </w:r>
      </w:hyperlink>
      <w:r>
        <w:rPr>
          <w:rFonts w:ascii="Cambria" w:hAnsi="Cambria" w:eastAsia="Cambria"/>
          <w:i w:val="0"/>
          <w:color w:val="000000"/>
          <w:sz w:val="22"/>
        </w:rPr>
        <w:t xml:space="preserve"> </w:t>
      </w:r>
      <w:hyperlink r:id="rId12">
        <w:r>
          <w:rPr>
            <w:rFonts w:ascii="Cambria" w:hAnsi="Cambria"/>
            <w:color w:val="000000"/>
            <w:u w:val="single"/>
          </w:rPr>
          <w:t>[10.26434/chemrxiv.15001712/v1]</w:t>
        </w:r>
      </w:hyperlink>
      <w:r>
        <w:rPr>
          <w:rFonts w:ascii="Cambria" w:hAnsi="Cambria" w:eastAsia="Cambria"/>
          <w:i w:val="0"/>
          <w:color w:val="000000"/>
          <w:sz w:val="22"/>
        </w:rPr>
        <w:t>.</w:t>
      </w:r>
    </w:p>
    <w:p>
      <w:pPr>
        <w:widowControl/>
        <w:jc w:val="both"/>
      </w:pPr>
      <w:r>
        <w:rPr>
          <w:rFonts w:ascii="Cambria" w:hAnsi="Cambria" w:eastAsia="Cambria"/>
          <w:i w:val="0"/>
          <w:color w:val="000000"/>
          <w:sz w:val="22"/>
        </w:rPr>
        <w:t xml:space="preserve">Density functional theory (DFT) can resolve these site specific adsorption trends, while machine learning can summarize calculated data and prioritize structures for additional calculations </w:t>
      </w:r>
      <w:hyperlink r:id="rId13">
        <w:r>
          <w:rPr>
            <w:rFonts w:ascii="Cambria" w:hAnsi="Cambria"/>
            <w:color w:val="000000"/>
            <w:u w:val="single"/>
          </w:rPr>
          <w:t>[10.1002/adma.74833]</w:t>
        </w:r>
      </w:hyperlink>
      <w:r>
        <w:rPr>
          <w:rFonts w:ascii="Cambria" w:hAnsi="Cambria" w:eastAsia="Cambria"/>
          <w:i w:val="0"/>
          <w:color w:val="000000"/>
          <w:sz w:val="22"/>
        </w:rPr>
        <w:t xml:space="preserve"> </w:t>
      </w:r>
      <w:hyperlink r:id="rId14">
        <w:r>
          <w:rPr>
            <w:rFonts w:ascii="Cambria" w:hAnsi="Cambria"/>
            <w:color w:val="000000"/>
            <w:u w:val="single"/>
          </w:rPr>
          <w:t>[10.1002/adma.202403549]</w:t>
        </w:r>
      </w:hyperlink>
      <w:r>
        <w:rPr>
          <w:rFonts w:ascii="Cambria" w:hAnsi="Cambria" w:eastAsia="Cambria"/>
          <w:i w:val="0"/>
          <w:color w:val="000000"/>
          <w:sz w:val="22"/>
        </w:rPr>
        <w:t xml:space="preserve"> </w:t>
      </w:r>
      <w:hyperlink r:id="rId15">
        <w:r>
          <w:rPr>
            <w:rFonts w:ascii="Cambria" w:hAnsi="Cambria"/>
            <w:color w:val="000000"/>
            <w:u w:val="single"/>
          </w:rPr>
          <w:t>[10.1021/acscatal.6c02383]</w:t>
        </w:r>
      </w:hyperlink>
      <w:r>
        <w:rPr>
          <w:rFonts w:ascii="Cambria" w:hAnsi="Cambria" w:eastAsia="Cambria"/>
          <w:i w:val="0"/>
          <w:color w:val="000000"/>
          <w:sz w:val="22"/>
        </w:rPr>
        <w:t>. Yet a model result is useful only when each adsorption value remains linked to its catalyst, adsorption site, and calculation record. Exact matching and reusable data therefore support both scientific interpretation and later reanalysis. The present working databases permit us to examine these steps, although the final catalyst counts and regression assessment await replacement of the dummy data and reconciliation of the available model report.</w:t>
      </w:r>
    </w:p>
    <w:p>
      <w:pPr>
        <w:widowControl/>
        <w:jc w:val="both"/>
      </w:pPr>
      <w:r>
        <w:rPr>
          <w:rFonts w:ascii="Cambria" w:hAnsi="Cambria" w:eastAsia="Cambria"/>
          <w:i w:val="0"/>
          <w:color w:val="000000"/>
          <w:sz w:val="22"/>
        </w:rPr>
        <w:t xml:space="preserve">Scientific editors have also emphasized that a coherent argument and carefully selected figures help readers understand a study </w:t>
      </w:r>
      <w:hyperlink r:id="rId16">
        <w:r>
          <w:rPr>
            <w:rFonts w:ascii="Cambria" w:hAnsi="Cambria"/>
            <w:color w:val="000000"/>
            <w:u w:val="single"/>
          </w:rPr>
          <w:t>[10.1021/acsenergylett.8b02322]</w:t>
        </w:r>
      </w:hyperlink>
      <w:r>
        <w:rPr>
          <w:rFonts w:ascii="Cambria" w:hAnsi="Cambria" w:eastAsia="Cambria"/>
          <w:i w:val="0"/>
          <w:color w:val="000000"/>
          <w:sz w:val="22"/>
        </w:rPr>
        <w:t xml:space="preserve"> </w:t>
      </w:r>
      <w:hyperlink r:id="rId17">
        <w:r>
          <w:rPr>
            <w:rFonts w:ascii="Cambria" w:hAnsi="Cambria"/>
            <w:color w:val="000000"/>
            <w:u w:val="single"/>
          </w:rPr>
          <w:t>[10.1038/nphys724]</w:t>
        </w:r>
      </w:hyperlink>
      <w:r>
        <w:rPr>
          <w:rFonts w:ascii="Cambria" w:hAnsi="Cambria" w:eastAsia="Cambria"/>
          <w:i w:val="0"/>
          <w:color w:val="000000"/>
          <w:sz w:val="22"/>
        </w:rPr>
        <w:t xml:space="preserve"> </w:t>
      </w:r>
      <w:hyperlink r:id="rId18">
        <w:r>
          <w:rPr>
            <w:rFonts w:ascii="Cambria" w:hAnsi="Cambria"/>
            <w:color w:val="000000"/>
            <w:u w:val="single"/>
          </w:rPr>
          <w:t>[10.1021/acsenergylett.1c02401]</w:t>
        </w:r>
      </w:hyperlink>
      <w:r>
        <w:rPr>
          <w:rFonts w:ascii="Cambria" w:hAnsi="Cambria" w:eastAsia="Cambria"/>
          <w:i w:val="0"/>
          <w:color w:val="000000"/>
          <w:sz w:val="22"/>
        </w:rPr>
        <w:t xml:space="preserve">. Editorial discussion in Nature Methods cautions that a preferred narrative can bias interpretation when it governs which observations appear </w:t>
      </w:r>
      <w:hyperlink r:id="rId19">
        <w:r>
          <w:rPr>
            <w:rFonts w:ascii="Cambria" w:hAnsi="Cambria"/>
            <w:color w:val="000000"/>
            <w:u w:val="single"/>
          </w:rPr>
          <w:t>[10.1038/nmeth.2726]</w:t>
        </w:r>
      </w:hyperlink>
      <w:r>
        <w:rPr>
          <w:rFonts w:ascii="Cambria" w:hAnsi="Cambria" w:eastAsia="Cambria"/>
          <w:i w:val="0"/>
          <w:color w:val="000000"/>
          <w:sz w:val="22"/>
        </w:rPr>
        <w:t>. We therefore treat narrative as a means to clarify evidence, with data, methods, and uncertainty setting its limits.</w:t>
      </w:r>
    </w:p>
    <w:p>
      <w:pPr>
        <w:widowControl/>
        <w:jc w:val="both"/>
      </w:pPr>
      <w:r>
        <w:rPr>
          <w:rFonts w:ascii="Cambria" w:hAnsi="Cambria" w:eastAsia="Cambria"/>
          <w:i w:val="0"/>
          <w:color w:val="000000"/>
          <w:sz w:val="22"/>
        </w:rPr>
        <w:t>Here, we examine how exact catalyst and adsorption site matching supports oxygen reduction reaction thermodynamics in a modular molecular catalyst library, and how reusable records permit alternative descriptors to be evaluated without repeating density functional theory calculations. We report the current scaling analysis, conventional computational hydrogen electrode results, and an exploratory regression comparison. We also describe how a language model helped organize a research account from a defined evidence base. The databases and regression assessment remain provisional, so we bound the electrochemical conclusions to the current working data. The central question is whether researchers can make ORR analysis easier to reproduce and extend when they preserve calculation identity, provide reusable records, and verify each new analysis.</w:t>
      </w:r>
    </w:p>
    <w:p>
      <w:pPr>
        <w:pStyle w:val="Heading1"/>
        <w:keepNext/>
        <w:jc w:val="left"/>
      </w:pPr>
      <w:r>
        <w:rPr>
          <w:rFonts w:ascii="Cambria" w:hAnsi="Cambria" w:eastAsia="Cambria"/>
          <w:b/>
          <w:color w:val="000000"/>
          <w:sz w:val="24"/>
        </w:rPr>
        <w:t>2. Computational methods</w:t>
      </w:r>
    </w:p>
    <w:p>
      <w:pPr>
        <w:pStyle w:val="Heading2"/>
        <w:keepNext/>
        <w:jc w:val="left"/>
      </w:pPr>
      <w:r>
        <w:rPr>
          <w:rFonts w:ascii="Cambria" w:hAnsi="Cambria" w:eastAsia="Cambria"/>
          <w:b/>
          <w:color w:val="000000"/>
          <w:sz w:val="22"/>
        </w:rPr>
        <w:t>2.1. Catalyst structures</w:t>
      </w:r>
    </w:p>
    <w:p>
      <w:pPr>
        <w:widowControl/>
        <w:jc w:val="both"/>
      </w:pPr>
      <w:r>
        <w:rPr>
          <w:rFonts w:ascii="Cambria" w:hAnsi="Cambria" w:eastAsia="Cambria"/>
          <w:i w:val="0"/>
          <w:color w:val="000000"/>
          <w:sz w:val="22"/>
        </w:rPr>
        <w:t xml:space="preserve">The molecular catalyst library was assembled from two metal centers, a fixed A2 dialdehyde, a B1 or B2 diamine, and two N, O, or S bridge atoms. The current clean catalyst database contains 88 structures with Cr, Mn, Fe, Co, Ni, or Cu at the two metal positions. The parent structures were generated by modular assembly and spin polarized GFN2-xTB optimization; selected DFT optimized structures were reused as templates, with one metal substituted at a time. An xTB optimized geometry was used when a suitable DFT template was unavailable </w:t>
      </w:r>
      <w:hyperlink r:id="rId20">
        <w:r>
          <w:rPr>
            <w:rFonts w:ascii="Cambria" w:hAnsi="Cambria"/>
            <w:color w:val="000000"/>
            <w:u w:val="single"/>
          </w:rPr>
          <w:t>[10.1016/j.dib.2026.112806]</w:t>
        </w:r>
      </w:hyperlink>
      <w:r>
        <w:rPr>
          <w:rFonts w:ascii="Cambria" w:hAnsi="Cambria" w:eastAsia="Cambria"/>
          <w:i w:val="0"/>
          <w:color w:val="000000"/>
          <w:sz w:val="22"/>
        </w:rPr>
        <w:t>.</w:t>
      </w:r>
    </w:p>
    <w:p>
      <w:pPr>
        <w:widowControl/>
        <w:jc w:val="both"/>
      </w:pPr>
      <w:r>
        <w:rPr>
          <w:rFonts w:ascii="Cambria" w:hAnsi="Cambria" w:eastAsia="Cambria"/>
          <w:i w:val="0"/>
          <w:color w:val="000000"/>
          <w:sz w:val="22"/>
        </w:rPr>
        <w:t>The Atomic Simulation Environment (ASE) rows carry a custom total_charge value of +2. This value is database metadata. The stored rows do not include GPAW calculator parameters or the original run inputs, so the metadata alone does not verify the charge passed to GPAW. We therefore report the database label without treating it as an independently audited calculation setting.</w:t>
      </w:r>
    </w:p>
    <w:p>
      <w:pPr>
        <w:pStyle w:val="Heading2"/>
        <w:keepNext/>
        <w:jc w:val="left"/>
      </w:pPr>
      <w:r>
        <w:rPr>
          <w:rFonts w:ascii="Cambria" w:hAnsi="Cambria" w:eastAsia="Cambria"/>
          <w:b/>
          <w:color w:val="000000"/>
          <w:sz w:val="22"/>
        </w:rPr>
        <w:t>2.2. Density functional theory calculations</w:t>
      </w:r>
    </w:p>
    <w:p>
      <w:pPr>
        <w:widowControl/>
        <w:jc w:val="both"/>
      </w:pPr>
      <w:r>
        <w:rPr>
          <w:rFonts w:ascii="Cambria" w:hAnsi="Cambria" w:eastAsia="Cambria"/>
          <w:i w:val="0"/>
          <w:color w:val="000000"/>
          <w:sz w:val="22"/>
        </w:rPr>
        <w:t xml:space="preserve">We performed spin polarized DFT calculations with the GPAW and ASE framework </w:t>
      </w:r>
      <w:hyperlink r:id="rId21">
        <w:r>
          <w:rPr>
            <w:rFonts w:ascii="Cambria" w:hAnsi="Cambria"/>
            <w:color w:val="000000"/>
            <w:u w:val="single"/>
          </w:rPr>
          <w:t>[10.1063/5.0182685]</w:t>
        </w:r>
      </w:hyperlink>
      <w:r>
        <w:rPr>
          <w:rFonts w:ascii="Cambria" w:hAnsi="Cambria" w:eastAsia="Cambria"/>
          <w:i w:val="0"/>
          <w:color w:val="000000"/>
          <w:sz w:val="22"/>
        </w:rPr>
        <w:t xml:space="preserve"> </w:t>
      </w:r>
      <w:hyperlink r:id="rId22">
        <w:r>
          <w:rPr>
            <w:rFonts w:ascii="Cambria" w:hAnsi="Cambria"/>
            <w:color w:val="000000"/>
            <w:u w:val="single"/>
          </w:rPr>
          <w:t>[10.1088/1361-648X/aa680e]</w:t>
        </w:r>
      </w:hyperlink>
      <w:r>
        <w:rPr>
          <w:rFonts w:ascii="Cambria" w:hAnsi="Cambria" w:eastAsia="Cambria"/>
          <w:i w:val="0"/>
          <w:color w:val="000000"/>
          <w:sz w:val="22"/>
        </w:rPr>
        <w:t xml:space="preserve">. The calculations used the projector augmented wave method, the revised Perdew–Burke–Ernzerhof functional, and the D4 dispersion correction </w:t>
      </w:r>
      <w:hyperlink r:id="rId23">
        <w:r>
          <w:rPr>
            <w:rFonts w:ascii="Cambria" w:hAnsi="Cambria"/>
            <w:color w:val="000000"/>
            <w:u w:val="single"/>
          </w:rPr>
          <w:t>[10.1021/acs.chemrev.5b00533]</w:t>
        </w:r>
      </w:hyperlink>
      <w:r>
        <w:rPr>
          <w:rFonts w:ascii="Cambria" w:hAnsi="Cambria" w:eastAsia="Cambria"/>
          <w:i w:val="0"/>
          <w:color w:val="000000"/>
          <w:sz w:val="22"/>
        </w:rPr>
        <w:t xml:space="preserve">. A plane wave basis with a 550 eV kinetic energy cutoff and a real space grid spacing of 0.16 Å were used. Molecules were placed in isolated cells with 6.00 Å vacuum and Γ point sampling. Atomic positions were relaxed to self consistency. Gas phase H₂ and H₂O reference molecules were calculated with the same settings. The calculation report describes this setup as following the GPAW methodology used for related molecular catalysts </w:t>
      </w:r>
      <w:hyperlink r:id="rId12">
        <w:r>
          <w:rPr>
            <w:rFonts w:ascii="Cambria" w:hAnsi="Cambria"/>
            <w:color w:val="000000"/>
            <w:u w:val="single"/>
          </w:rPr>
          <w:t>[10.26434/chemrxiv.15001712/v1]</w:t>
        </w:r>
      </w:hyperlink>
      <w:r>
        <w:rPr>
          <w:rFonts w:ascii="Cambria" w:hAnsi="Cambria" w:eastAsia="Cambria"/>
          <w:i w:val="0"/>
          <w:color w:val="000000"/>
          <w:sz w:val="22"/>
        </w:rPr>
        <w:t>.</w:t>
      </w:r>
    </w:p>
    <w:p>
      <w:pPr>
        <w:pStyle w:val="Heading2"/>
        <w:keepNext/>
        <w:jc w:val="left"/>
      </w:pPr>
      <w:r>
        <w:rPr>
          <w:rFonts w:ascii="Cambria" w:hAnsi="Cambria" w:eastAsia="Cambria"/>
          <w:b/>
          <w:color w:val="000000"/>
          <w:sz w:val="22"/>
        </w:rPr>
        <w:t>2.3. Adsorption structures and database matching</w:t>
      </w:r>
    </w:p>
    <w:p>
      <w:pPr>
        <w:widowControl/>
        <w:jc w:val="both"/>
      </w:pPr>
      <w:r>
        <w:rPr>
          <w:rFonts w:ascii="Cambria" w:hAnsi="Cambria" w:eastAsia="Cambria"/>
          <w:i w:val="0"/>
          <w:color w:val="000000"/>
          <w:sz w:val="22"/>
        </w:rPr>
        <w:t>We optimized O, OH, and OOH on each available metal atom. Two initial OOH geometries, OOH-x and OOH-z, were tested. We joined records by the exact pair (catalyst name, adsorption site label), selected the lower total energy OOH orientation separately for each pair, and retained its orientation label. A pathway was accepted only when its reconstructed values agreed with the corresponding raw database records within 10⁻⁸ eV. The observation unit throughout the analysis was one catalyst and one adsorption site combination.</w:t>
      </w:r>
    </w:p>
    <w:p>
      <w:pPr>
        <w:widowControl/>
        <w:jc w:val="both"/>
      </w:pPr>
      <w:r>
        <w:rPr>
          <w:rFonts w:ascii="Cambria" w:hAnsi="Cambria" w:eastAsia="Cambria"/>
          <w:i w:val="0"/>
          <w:color w:val="000000"/>
          <w:sz w:val="22"/>
        </w:rPr>
        <w:t>We calculated adsorption energies from the clean catalyst, adsorbed structures, and gas phase references as follows:</w:t>
      </w:r>
    </w:p>
    <w:p>
      <w:pPr>
        <w:spacing w:before="60" w:after="120"/>
        <w:jc w:val="center"/>
      </w:pPr>
      <m:oMathPara>
        <m:oMath>
          <m:r>
            <m:rPr>
              <m:sty m:val="p"/>
            </m:rPr>
            <m:t xml:space="preserve">ΔE_OH = E_*OH + ½ E_H₂ − E_* − E_H₂O</m:t>
          </m:r>
        </m:oMath>
      </m:oMathPara>
    </w:p>
    <w:p>
      <w:pPr>
        <w:spacing w:before="60" w:after="120"/>
        <w:jc w:val="center"/>
      </w:pPr>
      <m:oMathPara>
        <m:oMath>
          <m:r>
            <m:rPr>
              <m:sty m:val="p"/>
            </m:rPr>
            <m:t xml:space="preserve">ΔE_O = E_*O + E_H₂ − E_* − E_H₂O</m:t>
          </m:r>
        </m:oMath>
      </m:oMathPara>
    </w:p>
    <w:p>
      <w:pPr>
        <w:spacing w:before="60" w:after="120"/>
        <w:jc w:val="center"/>
      </w:pPr>
      <m:oMathPara>
        <m:oMath>
          <m:r>
            <m:rPr>
              <m:sty m:val="p"/>
            </m:rPr>
            <m:t xml:space="preserve">ΔE_OOH = E_*OOH + 3⁄2 E_H₂ − E_* − 2E_H₂O</m:t>
          </m:r>
        </m:oMath>
      </m:oMathPara>
    </w:p>
    <w:p>
      <w:pPr>
        <w:pStyle w:val="Heading2"/>
        <w:keepNext/>
        <w:jc w:val="left"/>
      </w:pPr>
      <w:r>
        <w:rPr>
          <w:rFonts w:ascii="Cambria" w:hAnsi="Cambria" w:eastAsia="Cambria"/>
          <w:b/>
          <w:color w:val="000000"/>
          <w:sz w:val="22"/>
        </w:rPr>
        <w:t>2.4. Adsorption free energies and ORR thermodynamics</w:t>
      </w:r>
    </w:p>
    <w:p>
      <w:pPr>
        <w:widowControl/>
        <w:jc w:val="both"/>
      </w:pPr>
      <w:r>
        <w:rPr>
          <w:rFonts w:ascii="Cambria" w:hAnsi="Cambria" w:eastAsia="Cambria"/>
          <w:i w:val="0"/>
          <w:color w:val="000000"/>
          <w:sz w:val="22"/>
        </w:rPr>
        <w:t xml:space="preserve">Adsorption free energies were obtained by adding zero point energy and entropic terms to the adsorption energies. The calculation report gives constant corrections of 0.30 eV for OH, 0.07 eV for O, and 0.39 eV for OOH, with reference corrections of −0.14 eV for H₂ and −0.11 eV for H₂O. The computational hydrogen electrode (CHE) treatment represents the chemical potential of a proton and electron pair as one half of the chemical potential of H₂ at zero potential </w:t>
      </w:r>
      <w:hyperlink r:id="rId10">
        <w:r>
          <w:rPr>
            <w:rFonts w:ascii="Cambria" w:hAnsi="Cambria"/>
            <w:color w:val="000000"/>
            <w:u w:val="single"/>
          </w:rPr>
          <w:t>[10.1021/jp047349j]</w:t>
        </w:r>
      </w:hyperlink>
      <w:r>
        <w:rPr>
          <w:rFonts w:ascii="Cambria" w:hAnsi="Cambria" w:eastAsia="Cambria"/>
          <w:i w:val="0"/>
          <w:color w:val="000000"/>
          <w:sz w:val="22"/>
        </w:rPr>
        <w:t>.</w:t>
      </w:r>
    </w:p>
    <w:p>
      <w:pPr>
        <w:widowControl/>
        <w:jc w:val="both"/>
      </w:pPr>
      <w:r>
        <w:rPr>
          <w:rFonts w:ascii="Cambria" w:hAnsi="Cambria" w:eastAsia="Cambria"/>
          <w:i w:val="0"/>
          <w:color w:val="000000"/>
          <w:sz w:val="22"/>
        </w:rPr>
        <w:t>For the associative four electron ORR pathway, the four step free energy differences at zero applied potential are defined below. The limiting potential is the minimum step potential, and the calculated overpotential is referenced to the equilibrium potential of 1.23 V.</w:t>
      </w:r>
    </w:p>
    <w:p>
      <w:pPr>
        <w:spacing w:before="60" w:after="120"/>
        <w:jc w:val="center"/>
      </w:pPr>
      <m:oMathPara>
        <m:oMath>
          <m:r>
            <m:rPr>
              <m:sty m:val="p"/>
            </m:rPr>
            <m:t xml:space="preserve">ΔG_X = ΔE_X + ΔZPE_X − TΔS_X</m:t>
          </m:r>
        </m:oMath>
      </m:oMathPara>
    </w:p>
    <w:p>
      <w:pPr>
        <w:spacing w:before="60" w:after="120"/>
        <w:jc w:val="center"/>
      </w:pPr>
      <m:oMathPara>
        <m:oMath>
          <m:r>
            <m:rPr>
              <m:sty m:val="p"/>
            </m:rPr>
            <m:t xml:space="preserve">ΔG₁ = 4.92 − ΔG_OOH;   ΔG₂ = ΔG_OOH − ΔG_O;   ΔG₃ = ΔG_O − ΔG_OH;   ΔG₄ = ΔG_OH</m:t>
          </m:r>
        </m:oMath>
      </m:oMathPara>
    </w:p>
    <w:p>
      <w:pPr>
        <w:spacing w:before="60" w:after="120"/>
        <w:jc w:val="center"/>
      </w:pPr>
      <m:oMathPara>
        <m:oMath>
          <m:r>
            <m:rPr>
              <m:sty m:val="p"/>
            </m:rPr>
            <m:t xml:space="preserve">U_L = min(ΔG₁, ΔG₂, ΔG₃, ΔG₄) / e</m:t>
          </m:r>
        </m:oMath>
      </m:oMathPara>
    </w:p>
    <w:p>
      <w:pPr>
        <w:spacing w:before="60" w:after="120"/>
        <w:jc w:val="center"/>
      </w:pPr>
      <m:oMathPara>
        <m:oMath>
          <m:r>
            <m:rPr>
              <m:sty m:val="p"/>
            </m:rPr>
            <m:t xml:space="preserve">η_ORR = 1.23 V − U_L</m:t>
          </m:r>
        </m:oMath>
      </m:oMathPara>
    </w:p>
    <w:p>
      <w:pPr>
        <w:pStyle w:val="Heading2"/>
        <w:keepNext/>
        <w:jc w:val="left"/>
      </w:pPr>
      <w:r>
        <w:rPr>
          <w:rFonts w:ascii="Cambria" w:hAnsi="Cambria" w:eastAsia="Cambria"/>
          <w:b/>
          <w:color w:val="000000"/>
          <w:sz w:val="22"/>
        </w:rPr>
        <w:t>2.5. Scaling and thermodynamic activity analyses</w:t>
      </w:r>
    </w:p>
    <w:p>
      <w:pPr>
        <w:widowControl/>
        <w:jc w:val="both"/>
      </w:pPr>
      <w:r>
        <w:rPr>
          <w:rFonts w:ascii="Cambria" w:hAnsi="Cambria" w:eastAsia="Cambria"/>
          <w:i w:val="0"/>
          <w:color w:val="000000"/>
          <w:sz w:val="22"/>
        </w:rPr>
        <w:t xml:space="preserve">We fitted the O–OH and OOH–OH adsorption free energy relations by ordinary least squares. We applied the author specified filters after exact matching: OH adsorption energy at least 0.00 eV and O adsorption energy no greater than 4.92 eV. The final Figure 2 contains the raw scaling relations and the conventional CHE overpotential volcano. The analysis notebook also retains calculations of the oxygen reduction electrochemical step symmetry index proposed by Calle-Vallejo and coauthors and the free energy span descriptor proposed by Exner and coauthors </w:t>
      </w:r>
      <w:hyperlink r:id="rId24">
        <w:r>
          <w:rPr>
            <w:rFonts w:ascii="Cambria" w:hAnsi="Cambria"/>
            <w:color w:val="000000"/>
            <w:u w:val="single"/>
          </w:rPr>
          <w:t>[10.1016/j.coelec.2018.03.025]</w:t>
        </w:r>
      </w:hyperlink>
      <w:r>
        <w:rPr>
          <w:rFonts w:ascii="Cambria" w:hAnsi="Cambria" w:eastAsia="Cambria"/>
          <w:i w:val="0"/>
          <w:color w:val="000000"/>
          <w:sz w:val="22"/>
        </w:rPr>
        <w:t xml:space="preserve"> </w:t>
      </w:r>
      <w:hyperlink r:id="rId25">
        <w:r>
          <w:rPr>
            <w:rFonts w:ascii="Cambria" w:hAnsi="Cambria"/>
            <w:color w:val="000000"/>
            <w:u w:val="single"/>
          </w:rPr>
          <w:t>[10.1021/acscatal.2c03997]</w:t>
        </w:r>
      </w:hyperlink>
      <w:r>
        <w:rPr>
          <w:rFonts w:ascii="Cambria" w:hAnsi="Cambria" w:eastAsia="Cambria"/>
          <w:i w:val="0"/>
          <w:color w:val="000000"/>
          <w:sz w:val="22"/>
        </w:rPr>
        <w:t>. These descriptors use the same matched adsorption data and can be recalculated without repeating DFT when the input energies and conventions are unchanged.</w:t>
      </w:r>
    </w:p>
    <w:p>
      <w:pPr>
        <w:widowControl/>
        <w:jc w:val="both"/>
      </w:pPr>
      <w:r>
        <w:rPr>
          <w:rFonts w:ascii="Cambria" w:hAnsi="Cambria" w:eastAsia="Cambria"/>
          <w:i w:val="0"/>
          <w:color w:val="000000"/>
          <w:sz w:val="22"/>
        </w:rPr>
        <w:t>A thermodynamic descriptor is not an explicit kinetic barrier. The symmetry index and free energy span provide alternative ways to rank a specified set of reaction free energies; they do not establish reaction rates or replace the conventional limiting potential. The notebook keeps these analyses available for comparison while the current publication figure emphasizes the conventional CHE result.</w:t>
      </w:r>
    </w:p>
    <w:p>
      <w:pPr>
        <w:spacing w:before="60" w:after="120"/>
        <w:jc w:val="center"/>
      </w:pPr>
      <m:oMathPara>
        <m:oMath>
          <m:r>
            <m:rPr>
              <m:sty m:val="p"/>
            </m:rPr>
            <m:t xml:space="preserve">ΔG_O = α_O ΔG_OH + β_O;   ΔG_OOH = α_OOH ΔG_OH + β_OOH</m:t>
          </m:r>
        </m:oMath>
      </m:oMathPara>
    </w:p>
    <w:p>
      <w:pPr>
        <w:pStyle w:val="Heading2"/>
        <w:keepNext/>
        <w:jc w:val="left"/>
      </w:pPr>
      <w:r>
        <w:rPr>
          <w:rFonts w:ascii="Cambria" w:hAnsi="Cambria" w:eastAsia="Cambria"/>
          <w:b/>
          <w:color w:val="000000"/>
          <w:sz w:val="22"/>
        </w:rPr>
        <w:t>2.6. Regression analysis and manuscript preparation</w:t>
      </w:r>
    </w:p>
    <w:p>
      <w:pPr>
        <w:widowControl/>
        <w:jc w:val="both"/>
      </w:pPr>
      <w:r>
        <w:rPr>
          <w:rFonts w:ascii="Cambria" w:hAnsi="Cambria" w:eastAsia="Cambria"/>
          <w:i w:val="0"/>
          <w:color w:val="000000"/>
          <w:sz w:val="22"/>
        </w:rPr>
        <w:t>The intended model for this project is linear regression with second-order polynomial features. The current Figure 3 compares model predicted OH adsorption energies with 30 values compiled from literature and reports R² = 0.93, root mean square error = 0.37 eV, and mean absolute error = 0.30 eV. The available source material does not establish that the displayed fit came from the specified model, whether the points were independent of fitting, or whether the analysis used a reproducible split. A separate descriptor report describes ridge regression models and contains conflicts in predictor counts and validation sample counts. We therefore treat Figure 3 as exploratory and do not use it to claim validated prediction or broad transfer.</w:t>
      </w:r>
    </w:p>
    <w:p>
      <w:pPr>
        <w:widowControl/>
        <w:jc w:val="both"/>
      </w:pPr>
      <w:r>
        <w:rPr>
          <w:rFonts w:ascii="Cambria" w:hAnsi="Cambria" w:eastAsia="Cambria"/>
          <w:i w:val="0"/>
          <w:color w:val="000000"/>
          <w:sz w:val="22"/>
        </w:rPr>
        <w:t>The authors report that they developed the article prompt over approximately two weeks and that execution of the finalized prompt produced an integrated draft in less than one hour. This estimate concerns draft generation, not calculation time, database preparation, source verification, editing, or final approval. No matched, timed human writing comparison was performed. The authors supplied the scientific question, calculation and database records, figures, source material, and writing constraints; they directed the language model to organize and draft the text. Human researchers remained responsible for calculation choices, database integrity, interpretation, and verification of scientific results.</w:t>
      </w:r>
    </w:p>
    <w:p>
      <w:pPr>
        <w:pStyle w:val="Heading1"/>
        <w:keepNext/>
        <w:jc w:val="left"/>
      </w:pPr>
      <w:r>
        <w:rPr>
          <w:rFonts w:ascii="Cambria" w:hAnsi="Cambria" w:eastAsia="Cambria"/>
          <w:b/>
          <w:color w:val="000000"/>
          <w:sz w:val="24"/>
        </w:rPr>
        <w:t>3. Results and discussion</w:t>
      </w:r>
    </w:p>
    <w:p>
      <w:pPr>
        <w:pStyle w:val="Heading2"/>
        <w:keepNext/>
        <w:jc w:val="left"/>
      </w:pPr>
      <w:r>
        <w:rPr>
          <w:rFonts w:ascii="Cambria" w:hAnsi="Cambria" w:eastAsia="Cambria"/>
          <w:b/>
          <w:color w:val="000000"/>
          <w:sz w:val="22"/>
        </w:rPr>
        <w:t>3.1. Molecular design space and site identity</w:t>
      </w:r>
    </w:p>
    <w:p>
      <w:pPr>
        <w:widowControl/>
        <w:jc w:val="both"/>
      </w:pPr>
      <w:r>
        <w:rPr>
          <w:rFonts w:ascii="Cambria" w:hAnsi="Cambria" w:eastAsia="Cambria"/>
          <w:i w:val="0"/>
          <w:color w:val="000000"/>
          <w:sz w:val="22"/>
        </w:rPr>
        <w:t>Figure 1 shows the molecular scaffold and its modular components. The two metal positions use Cr, Mn, Fe, Co, Ni, or Cu; the bridge is N, O, or S; and the diamine is B1 or B2. The dialdehyde is fixed as A2. In each molecular catalyst, an adsorption site is a metal atom within the organic ligand framework at which an ORR intermediate is bound. The two metal atoms therefore define separate observations when both have adsorption data.</w:t>
      </w:r>
    </w:p>
    <w:p>
      <w:pPr>
        <w:keepLines/>
        <w:jc w:val="center"/>
      </w:pPr>
      <w:r>
        <w:drawing>
          <wp:inline xmlns:a="http://schemas.openxmlformats.org/drawingml/2006/main" xmlns:pic="http://schemas.openxmlformats.org/drawingml/2006/picture">
            <wp:extent cx="3060000" cy="2700277"/>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26"/>
                    <a:stretch>
                      <a:fillRect/>
                    </a:stretch>
                  </pic:blipFill>
                  <pic:spPr>
                    <a:xfrm>
                      <a:off x="0" y="0"/>
                      <a:ext cx="3060000" cy="2700277"/>
                    </a:xfrm>
                    <a:prstGeom prst="rect"/>
                  </pic:spPr>
                </pic:pic>
              </a:graphicData>
            </a:graphic>
          </wp:inline>
        </w:drawing>
      </w:r>
    </w:p>
    <w:p>
      <w:pPr>
        <w:keepLines/>
        <w:spacing w:after="160"/>
        <w:jc w:val="both"/>
      </w:pPr>
      <w:r>
        <w:rPr>
          <w:rFonts w:ascii="Cambria" w:hAnsi="Cambria" w:eastAsia="Cambria"/>
          <w:color w:val="000000"/>
          <w:sz w:val="22"/>
        </w:rPr>
        <w:t>Figure 1. Modular molecular structure of the catalyst library. The metal list gives the elements available at the two metal positions; bridge atoms are N, O, or S; diamines are B1 or B2; and the dialdehyde is fixed as A2. The arrows identify the metal region, bridge, diamine, and lower aromatic ring assigned to A2.</w:t>
      </w:r>
    </w:p>
    <w:p>
      <w:pPr>
        <w:widowControl/>
        <w:jc w:val="both"/>
      </w:pPr>
      <w:r>
        <w:rPr>
          <w:rFonts w:ascii="Cambria" w:hAnsi="Cambria" w:eastAsia="Cambria"/>
          <w:i w:val="0"/>
          <w:color w:val="000000"/>
          <w:sz w:val="22"/>
        </w:rPr>
        <w:t>The clean working database contains 88 catalyst structures. Exact matching of the raw O, OH, OOH-x, and OOH-z databases produced 123 complete pathways across 82 unique catalysts. Applying the specified energy filters retained 118 pathways across 79 unique catalysts. These counts describe the current working databases and remain provisional until the final databases are supplied and audited.</w:t>
      </w:r>
    </w:p>
    <w:p>
      <w:pPr>
        <w:pStyle w:val="Heading2"/>
        <w:keepNext/>
        <w:jc w:val="left"/>
      </w:pPr>
      <w:r>
        <w:rPr>
          <w:rFonts w:ascii="Cambria" w:hAnsi="Cambria" w:eastAsia="Cambria"/>
          <w:b/>
          <w:color w:val="000000"/>
          <w:sz w:val="22"/>
        </w:rPr>
        <w:t>3.2. Adsorption scaling and calculated ORR thermodynamics</w:t>
      </w:r>
    </w:p>
    <w:p>
      <w:pPr>
        <w:widowControl/>
        <w:jc w:val="both"/>
      </w:pPr>
      <w:r>
        <w:rPr>
          <w:rFonts w:ascii="Cambria" w:hAnsi="Cambria" w:eastAsia="Cambria"/>
          <w:i w:val="0"/>
          <w:color w:val="000000"/>
          <w:sz w:val="22"/>
        </w:rPr>
        <w:t xml:space="preserve">Figure 2a compares O and OOH adsorption free energies with OH adsorption free energy. For the filtered working dataset, the global OOH–OH fit is ΔG(OOH*) = 0.69ΔG(OH*) + 2.98 eV (R² = 0.84), while the O–OH fit is ΔG(O*) = 1.66ΔG(OH*) + 1.20 eV (R² = 0.93). The two relations differ in slope and dispersion, showing that one descriptor does not capture the same variation for all oxygen intermediates. The current data do not establish that the conventional scaling constraint is removed. Prior work on molecular Co₂ catalysts reports bidentate OOH binding, and DFT analysis of related salphen units reports family dependent scaling behavior </w:t>
      </w:r>
      <w:hyperlink r:id="rId11">
        <w:r>
          <w:rPr>
            <w:rFonts w:ascii="Cambria" w:hAnsi="Cambria"/>
            <w:color w:val="000000"/>
            <w:u w:val="single"/>
          </w:rPr>
          <w:t>[10.1021/jacs.4c12705]</w:t>
        </w:r>
      </w:hyperlink>
      <w:r>
        <w:rPr>
          <w:rFonts w:ascii="Cambria" w:hAnsi="Cambria" w:eastAsia="Cambria"/>
          <w:i w:val="0"/>
          <w:color w:val="000000"/>
          <w:sz w:val="22"/>
        </w:rPr>
        <w:t xml:space="preserve"> </w:t>
      </w:r>
      <w:hyperlink r:id="rId14">
        <w:r>
          <w:rPr>
            <w:rFonts w:ascii="Cambria" w:hAnsi="Cambria"/>
            <w:color w:val="000000"/>
            <w:u w:val="single"/>
          </w:rPr>
          <w:t>[10.1002/adma.202403549]</w:t>
        </w:r>
      </w:hyperlink>
      <w:r>
        <w:rPr>
          <w:rFonts w:ascii="Cambria" w:hAnsi="Cambria" w:eastAsia="Cambria"/>
          <w:i w:val="0"/>
          <w:color w:val="000000"/>
          <w:sz w:val="22"/>
        </w:rPr>
        <w:t>.</w:t>
      </w:r>
    </w:p>
    <w:p>
      <w:pPr>
        <w:keepLines/>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4.png"/>
                    <pic:cNvPicPr/>
                  </pic:nvPicPr>
                  <pic:blipFill>
                    <a:blip r:embed="rId27"/>
                    <a:stretch>
                      <a:fillRect/>
                    </a:stretch>
                  </pic:blipFill>
                  <pic:spPr>
                    <a:xfrm>
                      <a:off x="0" y="0"/>
                      <a:ext cx="6120000" cy="3059238"/>
                    </a:xfrm>
                    <a:prstGeom prst="rect"/>
                  </pic:spPr>
                </pic:pic>
              </a:graphicData>
            </a:graphic>
          </wp:inline>
        </w:drawing>
      </w:r>
    </w:p>
    <w:p>
      <w:pPr>
        <w:keepLines/>
        <w:spacing w:after="160"/>
        <w:jc w:val="both"/>
      </w:pPr>
      <w:r>
        <w:rPr>
          <w:rFonts w:ascii="Cambria" w:hAnsi="Cambria" w:eastAsia="Cambria"/>
          <w:color w:val="000000"/>
          <w:sz w:val="22"/>
        </w:rPr>
        <w:t>Figure 2. Adsorption free energy scaling relations and conventional oxygen reduction overpotential from the current working database. (a) O and OOH adsorption free energies versus OH adsorption free energy; black lines show the global linear fits. (b) Calculated conventional computational hydrogen electrode overpotential versus OH adsorption free energy; the vertical axis is reversed so lower overpotential appears higher, and the black curve marks the activity envelope from the scaling relations. Colors and marker shapes identify adsorption site metal families in Jmol colors and the order Cr, Mn, Fe, Co, Ni, and Cu. Each point represents one catalyst and one adsorption site.</w:t>
      </w:r>
    </w:p>
    <w:p>
      <w:pPr>
        <w:widowControl/>
        <w:jc w:val="both"/>
      </w:pPr>
      <w:r>
        <w:rPr>
          <w:rFonts w:ascii="Cambria" w:hAnsi="Cambria" w:eastAsia="Cambria"/>
          <w:i w:val="0"/>
          <w:color w:val="000000"/>
          <w:sz w:val="22"/>
        </w:rPr>
        <w:t>Figure 2b shows the positive conventional CHE overpotential with a reversed vertical axis. Within the filtered working set, the lowest calculated value is 0.34 V at the Mn adsorption site of a Cr–Mn catalyst with an S–S bridge and B1 diamine. Its reported adsorption free energies are 0.89 eV for OH, 1.99 eV for O, and 3.41 eV for OOH; the OH to water step determines the limiting potential. This ranking is conditional on the present structures, energy corrections, matching rules, and filters. It is a thermodynamic comparison, not a measured ORR rate. In Figure 2a, the black lines show the global linear fits; in Figure 2b, the black curve marks the activity envelope from those scaling relations.</w:t>
      </w:r>
    </w:p>
    <w:p>
      <w:pPr>
        <w:pStyle w:val="Heading2"/>
        <w:keepNext/>
        <w:jc w:val="left"/>
      </w:pPr>
      <w:r>
        <w:rPr>
          <w:rFonts w:ascii="Cambria" w:hAnsi="Cambria" w:eastAsia="Cambria"/>
          <w:b/>
          <w:color w:val="000000"/>
          <w:sz w:val="22"/>
        </w:rPr>
        <w:t>3.3. Regression evidence and its current limits</w:t>
      </w:r>
    </w:p>
    <w:p>
      <w:pPr>
        <w:widowControl/>
        <w:jc w:val="both"/>
      </w:pPr>
      <w:r>
        <w:rPr>
          <w:rFonts w:ascii="Cambria" w:hAnsi="Cambria" w:eastAsia="Cambria"/>
          <w:i w:val="0"/>
          <w:color w:val="000000"/>
          <w:sz w:val="22"/>
        </w:rPr>
        <w:t>Figure 3 presents the available OH comparison and displays the fit statistics reported with that plot. Its 30 points and summary metrics do not, by themselves, show how well the model predicts catalyst structures excluded from fitting. The separate descriptor report cannot resolve this issue because its narrative and tables disagree about the number of predictors and the validation and grouped cross validation cohorts. We therefore retain the plot as an exploratory result and withhold a quantitative claim about independent prediction until the model inputs, sample identities, split assignments, and metrics are reconciled.</w:t>
      </w:r>
    </w:p>
    <w:p>
      <w:pPr>
        <w:keepLines/>
        <w:jc w:val="center"/>
      </w:pPr>
      <w:r>
        <w:drawing>
          <wp:inline xmlns:a="http://schemas.openxmlformats.org/drawingml/2006/main" xmlns:pic="http://schemas.openxmlformats.org/drawingml/2006/picture">
            <wp:extent cx="6120000" cy="6120000"/>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28"/>
                    <a:stretch>
                      <a:fillRect/>
                    </a:stretch>
                  </pic:blipFill>
                  <pic:spPr>
                    <a:xfrm>
                      <a:off x="0" y="0"/>
                      <a:ext cx="6120000" cy="6120000"/>
                    </a:xfrm>
                    <a:prstGeom prst="rect"/>
                  </pic:spPr>
                </pic:pic>
              </a:graphicData>
            </a:graphic>
          </wp:inline>
        </w:drawing>
      </w:r>
    </w:p>
    <w:p>
      <w:pPr>
        <w:keepLines/>
        <w:spacing w:after="160"/>
        <w:jc w:val="both"/>
      </w:pPr>
      <w:r>
        <w:rPr>
          <w:rFonts w:ascii="Cambria" w:hAnsi="Cambria" w:eastAsia="Cambria"/>
          <w:color w:val="000000"/>
          <w:sz w:val="22"/>
        </w:rPr>
        <w:t>Figure 3. Initial comparison of model predicted OH adsorption energy with OH adsorption energy values compiled from literature for 30 records. The dashed line denotes parity. The plot displays R² = 0.93, root mean square error = 0.37 eV, and mean absolute error = 0.30 eV. The available records do not establish whether these points were excluded from model fitting; the comparison is therefore exploratory and is not evidence of independent predictive performance.</w:t>
      </w:r>
    </w:p>
    <w:p>
      <w:pPr>
        <w:pStyle w:val="Heading2"/>
        <w:keepNext/>
        <w:jc w:val="left"/>
      </w:pPr>
      <w:r>
        <w:rPr>
          <w:rFonts w:ascii="Cambria" w:hAnsi="Cambria" w:eastAsia="Cambria"/>
          <w:b/>
          <w:color w:val="000000"/>
          <w:sz w:val="22"/>
        </w:rPr>
        <w:t>3.4. Reanalysis from reusable data</w:t>
      </w:r>
    </w:p>
    <w:p>
      <w:pPr>
        <w:widowControl/>
        <w:jc w:val="both"/>
      </w:pPr>
      <w:r>
        <w:rPr>
          <w:rFonts w:ascii="Cambria" w:hAnsi="Cambria" w:eastAsia="Cambria"/>
          <w:i w:val="0"/>
          <w:color w:val="000000"/>
          <w:sz w:val="22"/>
        </w:rPr>
        <w:t>The same exact, site matched adsorption records support the conventional CHE calculation and the alternative Calle-Vallejo and Exner analyses retained in the notebook. Once the adsorption energies, catalyst identity, adsorption site, OOH orientation, and thermochemical convention are stored in a reusable table, these descriptors can be recalculated by post processing; that step does not require repeating the underlying DFT calculations. Reanalysis that changes the molecular geometry, charge state, or adsorption structure does require new calculations.</w:t>
      </w:r>
    </w:p>
    <w:p>
      <w:pPr>
        <w:widowControl/>
        <w:jc w:val="both"/>
      </w:pPr>
      <w:r>
        <w:rPr>
          <w:rFonts w:ascii="Cambria" w:hAnsi="Cambria" w:eastAsia="Cambria"/>
          <w:i w:val="0"/>
          <w:color w:val="000000"/>
          <w:sz w:val="22"/>
        </w:rPr>
        <w:t xml:space="preserve">We plan to release the catalyst structures and results as an Atomic Simulation Environment (ASE) database and a machine readable JSON representation, together with the code needed to reconstruct the joins and figures. These formats are intended to support findable, accessible, interoperable, and reusable data practices </w:t>
      </w:r>
      <w:hyperlink r:id="rId29">
        <w:r>
          <w:rPr>
            <w:rFonts w:ascii="Cambria" w:hAnsi="Cambria"/>
            <w:color w:val="000000"/>
            <w:u w:val="single"/>
          </w:rPr>
          <w:t>[10.1038/sdata.2016.18]</w:t>
        </w:r>
      </w:hyperlink>
      <w:r>
        <w:rPr>
          <w:rFonts w:ascii="Cambria" w:hAnsi="Cambria" w:eastAsia="Cambria"/>
          <w:i w:val="0"/>
          <w:color w:val="000000"/>
          <w:sz w:val="22"/>
        </w:rPr>
        <w:t>. A language model can read a documented schema and produce a new analysis or plot at low computational cost, while its output remains a proposal until the researcher checks the inputs, equations, code, and resulting values. The present example makes data organization and verification part of the scientific method.</w:t>
      </w:r>
    </w:p>
    <w:p>
      <w:pPr>
        <w:widowControl/>
        <w:jc w:val="both"/>
      </w:pPr>
      <w:r>
        <w:rPr>
          <w:rFonts w:ascii="Cambria" w:hAnsi="Cambria" w:eastAsia="Cambria"/>
          <w:i w:val="0"/>
          <w:color w:val="000000"/>
          <w:sz w:val="22"/>
        </w:rPr>
        <w:t>This distinction also bounds the time claim. The authors report a prompt development period of about two weeks followed by less than one hour to generate the integrated draft. They recall comparable manual writing efforts that took months, but neither the full project time nor a matched human writing task was measured. These observations therefore do not quantify general time savings. They describe one project in which a prepared prompt and structured evidence shifted effort toward specifying the analysis, curating data, and checking conclusions.</w:t>
      </w:r>
    </w:p>
    <w:p>
      <w:pPr>
        <w:pStyle w:val="Heading1"/>
        <w:keepNext/>
        <w:jc w:val="left"/>
      </w:pPr>
      <w:r>
        <w:rPr>
          <w:rFonts w:ascii="Cambria" w:hAnsi="Cambria" w:eastAsia="Cambria"/>
          <w:b/>
          <w:color w:val="000000"/>
          <w:sz w:val="24"/>
        </w:rPr>
        <w:t>4. Conclusions</w:t>
      </w:r>
    </w:p>
    <w:p>
      <w:pPr>
        <w:widowControl/>
        <w:jc w:val="both"/>
      </w:pPr>
      <w:r>
        <w:rPr>
          <w:rFonts w:ascii="Cambria" w:hAnsi="Cambria" w:eastAsia="Cambria"/>
          <w:i w:val="0"/>
          <w:color w:val="000000"/>
          <w:sz w:val="22"/>
        </w:rPr>
        <w:t>The working calculations show that adsorption site identity must be preserved when oxygen reduction intermediates are compared across molecular dual-atom site catalysts. The matched pathways define distinct O–OH and OOH–OH relations and a provisional ranking by conventional computational hydrogen electrode thermodynamics. The current databases and regression evidence remain provisional. The calculated ranking therefore describes thermodynamic behavior within this working dataset, while the exploratory model comparison does not establish predictive transfer.</w:t>
      </w:r>
    </w:p>
    <w:p>
      <w:pPr>
        <w:widowControl/>
        <w:jc w:val="both"/>
      </w:pPr>
      <w:r>
        <w:rPr>
          <w:rFonts w:ascii="Cambria" w:hAnsi="Cambria" w:eastAsia="Cambria"/>
          <w:i w:val="0"/>
          <w:color w:val="000000"/>
          <w:sz w:val="22"/>
        </w:rPr>
        <w:t>This case also shows how a language model can help assemble a research account from methods, data, figures, and references supplied by researchers. Reusable structures and site matched records will allow researchers to repeat the conventional analysis and evaluate the Calle-Vallejo and Exner descriptors from the same inputs. Reanalysis of stored energies requires no new density functional theory calculations when structures and conventions remain fixed; changed structures or conditions require new calculations. The planned Atomic Simulation Environment database and machine readable data release will make those records easier to inspect and reuse. Human researchers remain responsible for validating the data, choosing the analysis, interpreting the results, and editing the manuscript for submission.</w:t>
      </w:r>
    </w:p>
    <w:p>
      <w:pPr>
        <w:pStyle w:val="Heading1"/>
        <w:keepNext/>
        <w:jc w:val="left"/>
      </w:pPr>
      <w:r>
        <w:rPr>
          <w:rFonts w:ascii="Cambria" w:hAnsi="Cambria" w:eastAsia="Cambria"/>
          <w:b/>
          <w:color w:val="000000"/>
          <w:sz w:val="24"/>
        </w:rPr>
        <w:t>Acknowledgments</w:t>
      </w:r>
    </w:p>
    <w:p>
      <w:pPr>
        <w:widowControl/>
        <w:jc w:val="both"/>
      </w:pPr>
      <w:r>
        <w:rPr>
          <w:rFonts w:ascii="Cambria" w:hAnsi="Cambria" w:eastAsia="Cambria"/>
          <w:i w:val="0"/>
          <w:color w:val="000000"/>
          <w:sz w:val="22"/>
        </w:rP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pPr>
        <w:pStyle w:val="Heading1"/>
        <w:keepNext/>
        <w:jc w:val="left"/>
      </w:pPr>
      <w:r>
        <w:rPr>
          <w:rFonts w:ascii="Cambria" w:hAnsi="Cambria" w:eastAsia="Cambria"/>
          <w:b/>
          <w:color w:val="000000"/>
          <w:sz w:val="24"/>
        </w:rPr>
        <w:t>CRediT authorship contribution statement</w:t>
      </w:r>
    </w:p>
    <w:p>
      <w:pPr>
        <w:widowControl/>
        <w:jc w:val="both"/>
      </w:pPr>
      <w:r>
        <w:rPr>
          <w:rFonts w:ascii="Cambria" w:hAnsi="Cambria" w:eastAsia="Cambria"/>
          <w:i w:val="0"/>
          <w:color w:val="000000"/>
          <w:sz w:val="22"/>
        </w:rP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verified the scientific data and calculations.</w:t>
      </w:r>
    </w:p>
    <w:p>
      <w:pPr>
        <w:pStyle w:val="Heading1"/>
        <w:keepNext/>
        <w:jc w:val="left"/>
      </w:pPr>
      <w:r>
        <w:rPr>
          <w:rFonts w:ascii="Cambria" w:hAnsi="Cambria" w:eastAsia="Cambria"/>
          <w:b/>
          <w:color w:val="000000"/>
          <w:sz w:val="24"/>
        </w:rPr>
        <w:t>Declaration of competing interest</w:t>
      </w:r>
    </w:p>
    <w:p>
      <w:pPr>
        <w:widowControl/>
        <w:jc w:val="both"/>
      </w:pPr>
      <w:r>
        <w:rPr>
          <w:rFonts w:ascii="Cambria" w:hAnsi="Cambria" w:eastAsia="Cambria"/>
          <w:i w:val="0"/>
          <w:color w:val="000000"/>
          <w:sz w:val="22"/>
        </w:rPr>
        <w:t>The authors declare no competing interests.</w:t>
      </w:r>
    </w:p>
    <w:p>
      <w:pPr>
        <w:pStyle w:val="Heading1"/>
        <w:keepNext/>
        <w:jc w:val="left"/>
      </w:pPr>
      <w:r>
        <w:rPr>
          <w:rFonts w:ascii="Cambria" w:hAnsi="Cambria" w:eastAsia="Cambria"/>
          <w:b/>
          <w:color w:val="000000"/>
          <w:sz w:val="24"/>
        </w:rPr>
        <w:t>Data availability</w:t>
      </w:r>
    </w:p>
    <w:p>
      <w:pPr>
        <w:widowControl/>
        <w:jc w:val="both"/>
      </w:pPr>
      <w:r>
        <w:rPr>
          <w:rFonts w:ascii="Cambria" w:hAnsi="Cambria" w:eastAsia="Cambria"/>
          <w:i w:val="0"/>
          <w:color w:val="000000"/>
          <w:sz w:val="22"/>
        </w:rPr>
        <w:t xml:space="preserve">The parent molecular dual-atom site catalyst dataset is available from Zenodo </w:t>
      </w:r>
      <w:hyperlink r:id="rId30">
        <w:r>
          <w:rPr>
            <w:rFonts w:ascii="Cambria" w:hAnsi="Cambria"/>
            <w:color w:val="000000"/>
            <w:u w:val="single"/>
          </w:rPr>
          <w:t>[10.5281/zenodo.18601379]</w:t>
        </w:r>
      </w:hyperlink>
      <w:r>
        <w:rPr>
          <w:rFonts w:ascii="Cambria" w:hAnsi="Cambria" w:eastAsia="Cambria"/>
          <w:i w:val="0"/>
          <w:color w:val="000000"/>
          <w:sz w:val="22"/>
        </w:rPr>
        <w:t>.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jc w:val="left"/>
      </w:pPr>
      <w:r>
        <w:rPr>
          <w:rFonts w:ascii="Cambria" w:hAnsi="Cambria" w:eastAsia="Cambria"/>
          <w:b/>
          <w:color w:val="000000"/>
          <w:sz w:val="24"/>
        </w:rPr>
        <w:t>Declaration of generative AI and AI assisted technologies in the manuscript preparation process</w:t>
      </w:r>
    </w:p>
    <w:p>
      <w:pPr>
        <w:widowControl/>
        <w:jc w:val="both"/>
      </w:pPr>
      <w:r>
        <w:rPr>
          <w:rFonts w:ascii="Cambria" w:hAnsi="Cambria" w:eastAsia="Cambria"/>
          <w:i w:val="0"/>
          <w:color w:val="000000"/>
          <w:sz w:val="22"/>
        </w:rPr>
        <w:t>OpenAI Codex (GPT-5) was used to organize project materials and draft text for this working manuscript. The authors supplied the research question, scientific records, figures, and analysis constraints. Before submission, the authors must critically review and edit the draft, verify all calculations, data joins, literature claims, and interpretations, and accept responsibility for the final content. The authors report that prompt development took approximately two weeks and execution of the finalized prompt took less than one hour. These project specific estimates are not results of a controlled comparison.</w:t>
      </w:r>
    </w:p>
    <w:p>
      <w:pPr>
        <w:pStyle w:val="Heading1"/>
        <w:keepNext/>
        <w:jc w:val="left"/>
      </w:pPr>
      <w:r>
        <w:rPr>
          <w:rFonts w:ascii="Cambria" w:hAnsi="Cambria" w:eastAsia="Cambria"/>
          <w:b/>
          <w:color w:val="000000"/>
          <w:sz w:val="24"/>
        </w:rPr>
        <w:t>References</w:t>
      </w:r>
    </w:p>
    <w:p>
      <w:pPr>
        <w:ind w:left="283" w:hanging="283"/>
        <w:jc w:val="left"/>
      </w:pPr>
      <w:r>
        <w:rPr>
          <w:rFonts w:ascii="Cambria" w:hAnsi="Cambria" w:eastAsia="Cambria"/>
          <w:color w:val="000000"/>
          <w:sz w:val="19"/>
        </w:rPr>
        <w:t xml:space="preserve">1. J. K. Nørskov, J. Rossmeisl, A. Logadottir, L. Lindqvist, J. R. Kitchin, T. Bligaard, H. Jónsson, Origin of the Overpotential for Oxygen Reduction at a Fuel-Cell Cathode, Journal of Physical Chemistry B 108 (2004) 17886–17892. </w:t>
      </w:r>
      <w:hyperlink r:id="rId10">
        <w:r>
          <w:rPr>
            <w:rFonts w:ascii="Cambria" w:hAnsi="Cambria"/>
            <w:color w:val="000000"/>
            <w:u w:val="single"/>
          </w:rPr>
          <w:t>[10.1021/jp047349j]</w:t>
        </w:r>
      </w:hyperlink>
    </w:p>
    <w:p>
      <w:pPr>
        <w:ind w:left="283" w:hanging="283"/>
        <w:jc w:val="left"/>
      </w:pPr>
      <w:r>
        <w:rPr>
          <w:rFonts w:ascii="Cambria" w:hAnsi="Cambria" w:eastAsia="Cambria"/>
          <w:color w:val="000000"/>
          <w:sz w:val="19"/>
        </w:rPr>
        <w:t xml:space="preserve">2. N. Žoglo et al., Intersite Geometry Controls Activity and Selectivity in the Oxygen Reduction Reaction on Dual-Atom-Site Catalysts, ChemRxiv preprint (2026). </w:t>
      </w:r>
      <w:hyperlink r:id="rId12">
        <w:r>
          <w:rPr>
            <w:rFonts w:ascii="Cambria" w:hAnsi="Cambria"/>
            <w:color w:val="000000"/>
            <w:u w:val="single"/>
          </w:rPr>
          <w:t>[10.26434/chemrxiv.15001712/v1]</w:t>
        </w:r>
      </w:hyperlink>
    </w:p>
    <w:p>
      <w:pPr>
        <w:ind w:left="283" w:hanging="283"/>
        <w:jc w:val="left"/>
      </w:pPr>
      <w:r>
        <w:rPr>
          <w:rFonts w:ascii="Cambria" w:hAnsi="Cambria" w:eastAsia="Cambria"/>
          <w:color w:val="000000"/>
          <w:sz w:val="19"/>
        </w:rPr>
        <w:t xml:space="preserve">3. B. L. Nguyen, T. K. Madsen, V. Ivanistsev, N. Kongi, Dataset of molecular dual-atom site complexes for catalysis, Data in Brief 66 (2026) 112806. </w:t>
      </w:r>
      <w:hyperlink r:id="rId20">
        <w:r>
          <w:rPr>
            <w:rFonts w:ascii="Cambria" w:hAnsi="Cambria"/>
            <w:color w:val="000000"/>
            <w:u w:val="single"/>
          </w:rPr>
          <w:t>[10.1016/j.dib.2026.112806]</w:t>
        </w:r>
      </w:hyperlink>
    </w:p>
    <w:p>
      <w:pPr>
        <w:ind w:left="283" w:hanging="283"/>
        <w:jc w:val="left"/>
      </w:pPr>
      <w:r>
        <w:rPr>
          <w:rFonts w:ascii="Cambria" w:hAnsi="Cambria" w:eastAsia="Cambria"/>
          <w:color w:val="000000"/>
          <w:sz w:val="19"/>
        </w:rPr>
        <w:t xml:space="preserve">4. J. J. Mortensen et al., GPAW: An open Python package for electronic structure calculations, Journal of Chemical Physics 160 (2024) 092503. </w:t>
      </w:r>
      <w:hyperlink r:id="rId21">
        <w:r>
          <w:rPr>
            <w:rFonts w:ascii="Cambria" w:hAnsi="Cambria"/>
            <w:color w:val="000000"/>
            <w:u w:val="single"/>
          </w:rPr>
          <w:t>[10.1063/5.0182685]</w:t>
        </w:r>
      </w:hyperlink>
    </w:p>
    <w:p>
      <w:pPr>
        <w:ind w:left="283" w:hanging="283"/>
        <w:jc w:val="left"/>
      </w:pPr>
      <w:r>
        <w:rPr>
          <w:rFonts w:ascii="Cambria" w:hAnsi="Cambria" w:eastAsia="Cambria"/>
          <w:color w:val="000000"/>
          <w:sz w:val="19"/>
        </w:rPr>
        <w:t xml:space="preserve">5. A. H. Larsen et al., The Atomic Simulation Environment—A Python Library for Working with Atoms, Journal of Physics: Condensed Matter 29 (2017) 273002. </w:t>
      </w:r>
      <w:hyperlink r:id="rId22">
        <w:r>
          <w:rPr>
            <w:rFonts w:ascii="Cambria" w:hAnsi="Cambria"/>
            <w:color w:val="000000"/>
            <w:u w:val="single"/>
          </w:rPr>
          <w:t>[10.1088/1361-648X/aa680e]</w:t>
        </w:r>
      </w:hyperlink>
    </w:p>
    <w:p>
      <w:pPr>
        <w:ind w:left="283" w:hanging="283"/>
        <w:jc w:val="left"/>
      </w:pPr>
      <w:r>
        <w:rPr>
          <w:rFonts w:ascii="Cambria" w:hAnsi="Cambria" w:eastAsia="Cambria"/>
          <w:color w:val="000000"/>
          <w:sz w:val="19"/>
        </w:rPr>
        <w:t xml:space="preserve">6. S. Grimme, A. Hansen, J. G. Brandenburg, C. Bannwarth, Dispersion-Corrected Mean-Field Electronic Structure Methods, Chemical Reviews 116 (2016) 5105–5154. </w:t>
      </w:r>
      <w:hyperlink r:id="rId23">
        <w:r>
          <w:rPr>
            <w:rFonts w:ascii="Cambria" w:hAnsi="Cambria"/>
            <w:color w:val="000000"/>
            <w:u w:val="single"/>
          </w:rPr>
          <w:t>[10.1021/acs.chemrev.5b00533]</w:t>
        </w:r>
      </w:hyperlink>
    </w:p>
    <w:p>
      <w:pPr>
        <w:ind w:left="283" w:hanging="283"/>
        <w:jc w:val="left"/>
      </w:pPr>
      <w:r>
        <w:rPr>
          <w:rFonts w:ascii="Cambria" w:hAnsi="Cambria" w:eastAsia="Cambria"/>
          <w:color w:val="000000"/>
          <w:sz w:val="19"/>
        </w:rPr>
        <w:t xml:space="preserve">7. Q. Sun et al., Well-Defined Co₂ Dual-Atom Catalyst Breaks Scaling Relations of Oxygen Reduction Reaction, Journal of the American Chemical Society 146 (2024) 35295–35304. </w:t>
      </w:r>
      <w:hyperlink r:id="rId11">
        <w:r>
          <w:rPr>
            <w:rFonts w:ascii="Cambria" w:hAnsi="Cambria"/>
            <w:color w:val="000000"/>
            <w:u w:val="single"/>
          </w:rPr>
          <w:t>[10.1021/jacs.4c12705]</w:t>
        </w:r>
      </w:hyperlink>
    </w:p>
    <w:p>
      <w:pPr>
        <w:ind w:left="283" w:hanging="283"/>
        <w:jc w:val="left"/>
      </w:pPr>
      <w:r>
        <w:rPr>
          <w:rFonts w:ascii="Cambria" w:hAnsi="Cambria" w:eastAsia="Cambria"/>
          <w:color w:val="000000"/>
          <w:sz w:val="19"/>
        </w:rPr>
        <w:t xml:space="preserve">8. S. Jia et al., Machine Learning Reveals Role-Asymmetric Electronic Cooperation in Fe-Based Dual-Atom Catalysts, Advanced Materials 36 (2026) e74833. </w:t>
      </w:r>
      <w:hyperlink r:id="rId13">
        <w:r>
          <w:rPr>
            <w:rFonts w:ascii="Cambria" w:hAnsi="Cambria"/>
            <w:color w:val="000000"/>
            <w:u w:val="single"/>
          </w:rPr>
          <w:t>[10.1002/adma.74833]</w:t>
        </w:r>
      </w:hyperlink>
    </w:p>
    <w:p>
      <w:pPr>
        <w:ind w:left="283" w:hanging="283"/>
        <w:jc w:val="left"/>
      </w:pPr>
      <w:r>
        <w:rPr>
          <w:rFonts w:ascii="Cambria" w:hAnsi="Cambria" w:eastAsia="Cambria"/>
          <w:color w:val="000000"/>
          <w:sz w:val="19"/>
        </w:rPr>
        <w:t xml:space="preserve">9. D. Xue, Y. Zhao, J. Cao, Y. Wang, Engineering of asymmetric dual-atom sites for effective oxygen electrocatalysis, Nano-Micro Letters 18 (2026) 316. </w:t>
      </w:r>
      <w:hyperlink r:id="rId31">
        <w:r>
          <w:rPr>
            <w:rFonts w:ascii="Cambria" w:hAnsi="Cambria"/>
            <w:color w:val="000000"/>
            <w:u w:val="single"/>
          </w:rPr>
          <w:t>[10.1007/s40820-026-02155-2]</w:t>
        </w:r>
      </w:hyperlink>
    </w:p>
    <w:p>
      <w:pPr>
        <w:ind w:left="283" w:hanging="283"/>
        <w:jc w:val="left"/>
      </w:pPr>
      <w:r>
        <w:rPr>
          <w:rFonts w:ascii="Cambria" w:hAnsi="Cambria" w:eastAsia="Cambria"/>
          <w:color w:val="000000"/>
          <w:sz w:val="19"/>
        </w:rPr>
        <w:t xml:space="preserve">10. Z. Zhang et al., Design and Synthesis of Electrocatalysts Based on Catalysis-Unit Engineering, Advanced Materials 36 (2024) 2403549. </w:t>
      </w:r>
      <w:hyperlink r:id="rId14">
        <w:r>
          <w:rPr>
            <w:rFonts w:ascii="Cambria" w:hAnsi="Cambria"/>
            <w:color w:val="000000"/>
            <w:u w:val="single"/>
          </w:rPr>
          <w:t>[10.1002/adma.202403549]</w:t>
        </w:r>
      </w:hyperlink>
    </w:p>
    <w:p>
      <w:pPr>
        <w:ind w:left="283" w:hanging="283"/>
        <w:jc w:val="left"/>
      </w:pPr>
      <w:r>
        <w:rPr>
          <w:rFonts w:ascii="Cambria" w:hAnsi="Cambria" w:eastAsia="Cambria"/>
          <w:color w:val="000000"/>
          <w:sz w:val="19"/>
        </w:rPr>
        <w:t xml:space="preserve">11. Y. Hu, H. A. Hansen, Bridging computation and experiment in electrocatalyst active site discovery: Challenges and opportunities, ACS Catalysis 16 (2026) 7803–7814. </w:t>
      </w:r>
      <w:hyperlink r:id="rId32">
        <w:r>
          <w:rPr>
            <w:rFonts w:ascii="Cambria" w:hAnsi="Cambria"/>
            <w:color w:val="000000"/>
            <w:u w:val="single"/>
          </w:rPr>
          <w:t>[10.1021/acscatal.6c00013]</w:t>
        </w:r>
      </w:hyperlink>
    </w:p>
    <w:p>
      <w:pPr>
        <w:ind w:left="283" w:hanging="283"/>
        <w:jc w:val="left"/>
      </w:pPr>
      <w:r>
        <w:rPr>
          <w:rFonts w:ascii="Cambria" w:hAnsi="Cambria" w:eastAsia="Cambria"/>
          <w:color w:val="000000"/>
          <w:sz w:val="19"/>
        </w:rPr>
        <w:t xml:space="preserve">12. Y. Chen et al., Dynamic heterovalent dual Cu sites for O=O cleavage in electrocatalytic oxygen reduction reaction, Angewandte Chemie International Edition 65 (2026) e9291507. </w:t>
      </w:r>
      <w:hyperlink r:id="rId33">
        <w:r>
          <w:rPr>
            <w:rFonts w:ascii="Cambria" w:hAnsi="Cambria"/>
            <w:color w:val="000000"/>
            <w:u w:val="single"/>
          </w:rPr>
          <w:t>[10.1002/anie.9291507]</w:t>
        </w:r>
      </w:hyperlink>
    </w:p>
    <w:p>
      <w:pPr>
        <w:ind w:left="283" w:hanging="283"/>
        <w:jc w:val="left"/>
      </w:pPr>
      <w:r>
        <w:rPr>
          <w:rFonts w:ascii="Cambria" w:hAnsi="Cambria" w:eastAsia="Cambria"/>
          <w:color w:val="000000"/>
          <w:sz w:val="19"/>
        </w:rPr>
        <w:t xml:space="preserve">13. X. Chen et al., Leveraging DFT and Machine Learning for Accelerated Screening of Cluster-Modified Single-Atom Catalysts in Oxygen Reduction Reactions, ACS Catalysis 16 (2026) 14399–14410. </w:t>
      </w:r>
      <w:hyperlink r:id="rId15">
        <w:r>
          <w:rPr>
            <w:rFonts w:ascii="Cambria" w:hAnsi="Cambria"/>
            <w:color w:val="000000"/>
            <w:u w:val="single"/>
          </w:rPr>
          <w:t>[10.1021/acscatal.6c02383]</w:t>
        </w:r>
      </w:hyperlink>
    </w:p>
    <w:p>
      <w:pPr>
        <w:ind w:left="283" w:hanging="283"/>
        <w:jc w:val="left"/>
      </w:pPr>
      <w:r>
        <w:rPr>
          <w:rFonts w:ascii="Cambria" w:hAnsi="Cambria" w:eastAsia="Cambria"/>
          <w:color w:val="000000"/>
          <w:sz w:val="19"/>
        </w:rPr>
        <w:t xml:space="preserve">14. L. Jia et al., From Data to Discovery: Crafting Data-Driven Frameworks for Advancing OER Electrocatalysts, Advanced Functional Materials 36 (2026) e77325. </w:t>
      </w:r>
      <w:hyperlink r:id="rId34">
        <w:r>
          <w:rPr>
            <w:rFonts w:ascii="Cambria" w:hAnsi="Cambria"/>
            <w:color w:val="000000"/>
            <w:u w:val="single"/>
          </w:rPr>
          <w:t>[10.1002/adfm.77325]</w:t>
        </w:r>
      </w:hyperlink>
    </w:p>
    <w:p>
      <w:pPr>
        <w:ind w:left="283" w:hanging="283"/>
        <w:jc w:val="left"/>
      </w:pPr>
      <w:r>
        <w:rPr>
          <w:rFonts w:ascii="Cambria" w:hAnsi="Cambria" w:eastAsia="Cambria"/>
          <w:color w:val="000000"/>
          <w:sz w:val="19"/>
        </w:rPr>
        <w:t xml:space="preserve">15. N. Govindarajan, J. M. García-Lastra, E. J. Meijer, F. Calle-Vallejo, Does the breaking of adsorption energy scaling relations guarantee enhanced electrocatalysis?, Current Opinion in Electrochemistry 8 (2018) 110–117. </w:t>
      </w:r>
      <w:hyperlink r:id="rId24">
        <w:r>
          <w:rPr>
            <w:rFonts w:ascii="Cambria" w:hAnsi="Cambria"/>
            <w:color w:val="000000"/>
            <w:u w:val="single"/>
          </w:rPr>
          <w:t>[10.1016/j.coelec.2018.03.025]</w:t>
        </w:r>
      </w:hyperlink>
    </w:p>
    <w:p>
      <w:pPr>
        <w:ind w:left="283" w:hanging="283"/>
        <w:jc w:val="left"/>
      </w:pPr>
      <w:r>
        <w:rPr>
          <w:rFonts w:ascii="Cambria" w:hAnsi="Cambria" w:eastAsia="Cambria"/>
          <w:color w:val="000000"/>
          <w:sz w:val="19"/>
        </w:rPr>
        <w:t xml:space="preserve">16. S. Razzaq, K. S. Exner, Materials screening by the descriptor Gmax(η): The free energy span model in electrocatalysis, ACS Catalysis 13 (2023) 1740–1758. </w:t>
      </w:r>
      <w:hyperlink r:id="rId25">
        <w:r>
          <w:rPr>
            <w:rFonts w:ascii="Cambria" w:hAnsi="Cambria"/>
            <w:color w:val="000000"/>
            <w:u w:val="single"/>
          </w:rPr>
          <w:t>[10.1021/acscatal.2c03997]</w:t>
        </w:r>
      </w:hyperlink>
    </w:p>
    <w:p>
      <w:pPr>
        <w:ind w:left="283" w:hanging="283"/>
        <w:jc w:val="left"/>
      </w:pPr>
      <w:r>
        <w:rPr>
          <w:rFonts w:ascii="Cambria" w:hAnsi="Cambria" w:eastAsia="Cambria"/>
          <w:color w:val="000000"/>
          <w:sz w:val="19"/>
        </w:rPr>
        <w:t xml:space="preserve">17. L. X. Chen, P. Christopher, F. De Angelis, S. Jin, Y.-S. Hu, N.-G. Park, D. Das Sarma, Y.-K. Sun, P. V. Kamat, We Editors Are Authors, Too, ACS Energy Letters 4 (2019) 249–250. </w:t>
      </w:r>
      <w:hyperlink r:id="rId16">
        <w:r>
          <w:rPr>
            <w:rFonts w:ascii="Cambria" w:hAnsi="Cambria"/>
            <w:color w:val="000000"/>
            <w:u w:val="single"/>
          </w:rPr>
          <w:t>[10.1021/acsenergylett.8b02322]</w:t>
        </w:r>
      </w:hyperlink>
    </w:p>
    <w:p>
      <w:pPr>
        <w:ind w:left="283" w:hanging="283"/>
        <w:jc w:val="left"/>
      </w:pPr>
      <w:r>
        <w:rPr>
          <w:rFonts w:ascii="Cambria" w:hAnsi="Cambria" w:eastAsia="Cambria"/>
          <w:color w:val="000000"/>
          <w:sz w:val="19"/>
        </w:rPr>
        <w:t xml:space="preserve">18. Elements of style, Nature Physics 3 (2007) 581. </w:t>
      </w:r>
      <w:hyperlink r:id="rId17">
        <w:r>
          <w:rPr>
            <w:rFonts w:ascii="Cambria" w:hAnsi="Cambria"/>
            <w:color w:val="000000"/>
            <w:u w:val="single"/>
          </w:rPr>
          <w:t>[10.1038/nphys724]</w:t>
        </w:r>
      </w:hyperlink>
    </w:p>
    <w:p>
      <w:pPr>
        <w:ind w:left="283" w:hanging="283"/>
        <w:jc w:val="left"/>
      </w:pPr>
      <w:r>
        <w:rPr>
          <w:rFonts w:ascii="Cambria" w:hAnsi="Cambria" w:eastAsia="Cambria"/>
          <w:color w:val="000000"/>
          <w:sz w:val="19"/>
        </w:rPr>
        <w:t xml:space="preserve">19. Storytelling in research, Nature Biomedical Engineering 2 (2018) 53. </w:t>
      </w:r>
      <w:hyperlink r:id="rId35">
        <w:r>
          <w:rPr>
            <w:rFonts w:ascii="Cambria" w:hAnsi="Cambria"/>
            <w:color w:val="000000"/>
            <w:u w:val="single"/>
          </w:rPr>
          <w:t>[10.1038/s41551-018-0202-5]</w:t>
        </w:r>
      </w:hyperlink>
    </w:p>
    <w:p>
      <w:pPr>
        <w:ind w:left="283" w:hanging="283"/>
        <w:jc w:val="left"/>
      </w:pPr>
      <w:r>
        <w:rPr>
          <w:rFonts w:ascii="Cambria" w:hAnsi="Cambria" w:eastAsia="Cambria"/>
          <w:color w:val="000000"/>
          <w:sz w:val="19"/>
        </w:rPr>
        <w:t xml:space="preserve">20. Should scientists tell stories?, Nature Methods 10 (2013) 1037. </w:t>
      </w:r>
      <w:hyperlink r:id="rId19">
        <w:r>
          <w:rPr>
            <w:rFonts w:ascii="Cambria" w:hAnsi="Cambria"/>
            <w:color w:val="000000"/>
            <w:u w:val="single"/>
          </w:rPr>
          <w:t>[10.1038/nmeth.2726]</w:t>
        </w:r>
      </w:hyperlink>
    </w:p>
    <w:p>
      <w:pPr>
        <w:ind w:left="283" w:hanging="283"/>
        <w:jc w:val="left"/>
      </w:pPr>
      <w:r>
        <w:rPr>
          <w:rFonts w:ascii="Cambria" w:hAnsi="Cambria" w:eastAsia="Cambria"/>
          <w:color w:val="000000"/>
          <w:sz w:val="19"/>
        </w:rPr>
        <w:t xml:space="preserve">21. C. M. Biegel, P. V. Kamat, Five common pitfalls to avoid while composing scientific figures, ACS Energy Letters 6 (2021) 4309–4310. </w:t>
      </w:r>
      <w:hyperlink r:id="rId18">
        <w:r>
          <w:rPr>
            <w:rFonts w:ascii="Cambria" w:hAnsi="Cambria"/>
            <w:color w:val="000000"/>
            <w:u w:val="single"/>
          </w:rPr>
          <w:t>[10.1021/acsenergylett.1c02401]</w:t>
        </w:r>
      </w:hyperlink>
    </w:p>
    <w:p>
      <w:pPr>
        <w:ind w:left="283" w:hanging="283"/>
        <w:jc w:val="left"/>
      </w:pPr>
      <w:r>
        <w:rPr>
          <w:rFonts w:ascii="Cambria" w:hAnsi="Cambria" w:eastAsia="Cambria"/>
          <w:color w:val="000000"/>
          <w:sz w:val="19"/>
        </w:rPr>
        <w:t xml:space="preserve">22. M. D. Wilkinson et al., The FAIR guiding principles for scientific data management and stewardship, Scientific Data 3 (2016) 160018. </w:t>
      </w:r>
      <w:hyperlink r:id="rId29">
        <w:r>
          <w:rPr>
            <w:rFonts w:ascii="Cambria" w:hAnsi="Cambria"/>
            <w:color w:val="000000"/>
            <w:u w:val="single"/>
          </w:rPr>
          <w:t>[10.1038/sdata.2016.18]</w:t>
        </w:r>
      </w:hyperlink>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ZeroDimensional" w:val="maximum-occurrences:1"/>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CleanRelease_v28" w:val="Clean v28 manuscript; preserves the author-approved layout and text controls; v27 retained."/>
    <w:docVar w:name="UserRule_DualAtomSiteTerm" w:val="Use dual-atom site catalyst; the hyphen joins dual and atom only."/>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21/jp047349j" TargetMode="External"/><Relationship Id="rId11" Type="http://schemas.openxmlformats.org/officeDocument/2006/relationships/hyperlink" Target="https://doi.org/10.1021/jacs.4c12705" TargetMode="External"/><Relationship Id="rId12" Type="http://schemas.openxmlformats.org/officeDocument/2006/relationships/hyperlink" Target="https://doi.org/10.26434/chemrxiv.15001712/v1" TargetMode="External"/><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acsenergylett.8b02322" TargetMode="External"/><Relationship Id="rId17" Type="http://schemas.openxmlformats.org/officeDocument/2006/relationships/hyperlink" Target="https://doi.org/10.1038/nphys724" TargetMode="External"/><Relationship Id="rId18" Type="http://schemas.openxmlformats.org/officeDocument/2006/relationships/hyperlink" Target="https://doi.org/10.1021/acsenergylett.1c02401" TargetMode="External"/><Relationship Id="rId19" Type="http://schemas.openxmlformats.org/officeDocument/2006/relationships/hyperlink" Target="https://doi.org/10.1038/nmeth.2726" TargetMode="External"/><Relationship Id="rId20" Type="http://schemas.openxmlformats.org/officeDocument/2006/relationships/hyperlink" Target="https://doi.org/10.1016/j.dib.2026.112806" TargetMode="External"/><Relationship Id="rId21" Type="http://schemas.openxmlformats.org/officeDocument/2006/relationships/hyperlink" Target="https://doi.org/10.1063/5.0182685" TargetMode="External"/><Relationship Id="rId22" Type="http://schemas.openxmlformats.org/officeDocument/2006/relationships/hyperlink" Target="https://doi.org/10.1088/1361-648X/aa680e" TargetMode="External"/><Relationship Id="rId23" Type="http://schemas.openxmlformats.org/officeDocument/2006/relationships/hyperlink" Target="https://doi.org/10.1021/acs.chemrev.5b00533" TargetMode="External"/><Relationship Id="rId24" Type="http://schemas.openxmlformats.org/officeDocument/2006/relationships/hyperlink" Target="https://doi.org/10.1016/j.coelec.2018.03.025" TargetMode="External"/><Relationship Id="rId25" Type="http://schemas.openxmlformats.org/officeDocument/2006/relationships/hyperlink" Target="https://doi.org/10.1021/acscatal.2c03997" TargetMode="Externa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hyperlink" Target="https://doi.org/10.1038/sdata.2016.18" TargetMode="External"/><Relationship Id="rId30" Type="http://schemas.openxmlformats.org/officeDocument/2006/relationships/hyperlink" Target="https://doi.org/10.5281/zenodo.18601379" TargetMode="External"/><Relationship Id="rId31" Type="http://schemas.openxmlformats.org/officeDocument/2006/relationships/hyperlink" Target="https://doi.org/10.1007/s40820-026-02155-2" TargetMode="External"/><Relationship Id="rId32" Type="http://schemas.openxmlformats.org/officeDocument/2006/relationships/hyperlink" Target="https://doi.org/10.1021/acscatal.6c00013" TargetMode="External"/><Relationship Id="rId33" Type="http://schemas.openxmlformats.org/officeDocument/2006/relationships/hyperlink" Target="https://doi.org/10.1002/anie.9291507" TargetMode="External"/><Relationship Id="rId34" Type="http://schemas.openxmlformats.org/officeDocument/2006/relationships/hyperlink" Target="https://doi.org/10.1002/adfm.77325" TargetMode="External"/><Relationship Id="rId35" Type="http://schemas.openxmlformats.org/officeDocument/2006/relationships/hyperlink" Target="https://doi.org/10.1038/s41551-018-0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