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120" w:line="259" w:lineRule="auto"/>
        <w:jc w:val="center"/>
      </w:pPr>
      <w:sdt>
        <w:sdtPr>
          <w:alias w:val="Author approved article title"/>
          <w:tag w:val="author-locked-v30-title"/>
          <w:lock w:val="contentLocked"/>
          <w:appearance w:val="hidden"/>
        </w:sdtPr>
        <w:sdtContent>
          <w:r>
            <w:rPr>
              <w:rFonts w:ascii="Cambria" w:hAnsi="Cambria" w:eastAsia="Cambria"/>
              <w:b/>
              <w:color w:val="000000"/>
              <w:sz w:val="28"/>
            </w:rPr>
            <w:t>Accelerating Catalyst Discovery and Design with Artificial Intelligence: Molecular Dual-Atom Site Catalysts as a Case Study</w:t>
          </w:r>
        </w:sdtContent>
      </w:sdt>
    </w:p>
    <w:p>
      <w:pPr>
        <w:keepNext w:val="0"/>
        <w:spacing w:after="120" w:before="0" w:line="259" w:lineRule="auto"/>
        <w:jc w:val="left"/>
      </w:pPr>
      <w:sdt>
        <w:sdtPr>
          <w:alias w:val="Author approved name"/>
          <w:tag w:val="author-locked-v30-001"/>
          <w:lock w:val="contentLocked"/>
          <w:appearance w:val="hidden"/>
        </w:sdtPr>
        <w:sdtContent>
          <w:r>
            <w:rPr>
              <w:rFonts w:ascii="Cambria" w:hAnsi="Cambria" w:eastAsia="Cambria"/>
              <w:color w:val="000000"/>
              <w:sz w:val="20"/>
            </w:rPr>
            <w:t>Bruno Inácio da Silva Roux Leite</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2"/>
          <w:lock w:val="contentLocked"/>
          <w:appearance w:val="hidden"/>
        </w:sdtPr>
        <w:sdtContent>
          <w:r>
            <w:rPr>
              <w:rFonts w:ascii="Cambria" w:hAnsi="Cambria" w:eastAsia="Cambria"/>
              <w:color w:val="000000"/>
              <w:sz w:val="20"/>
            </w:rPr>
            <w:t>Denis Savchenko</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3"/>
          <w:lock w:val="contentLocked"/>
          <w:appearance w:val="hidden"/>
        </w:sdtPr>
        <w:sdtContent>
          <w:r>
            <w:rPr>
              <w:rFonts w:ascii="Cambria" w:hAnsi="Cambria" w:eastAsia="Cambria"/>
              <w:color w:val="000000"/>
              <w:sz w:val="20"/>
            </w:rPr>
            <w:t>Timmo-Henrik Pukk</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4"/>
          <w:lock w:val="contentLocked"/>
          <w:appearance w:val="hidden"/>
        </w:sdtPr>
        <w:sdtContent>
          <w:r>
            <w:rPr>
              <w:rFonts w:ascii="Cambria" w:hAnsi="Cambria" w:eastAsia="Cambria"/>
              <w:color w:val="000000"/>
              <w:sz w:val="20"/>
            </w:rPr>
            <w:t>Ba Long Nguyen</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5"/>
          <w:lock w:val="contentLocked"/>
          <w:appearance w:val="hidden"/>
        </w:sdtPr>
        <w:sdtContent>
          <w:r>
            <w:rPr>
              <w:rFonts w:ascii="Cambria" w:hAnsi="Cambria" w:eastAsia="Cambria"/>
              <w:color w:val="000000"/>
              <w:sz w:val="20"/>
            </w:rPr>
            <w:t>Vladislav Ivanistsev</w:t>
          </w:r>
        </w:sdtContent>
      </w:sdt>
      <w:r>
        <w:rPr>
          <w:rFonts w:ascii="Cambria" w:hAnsi="Cambria" w:eastAsia="Cambria"/>
          <w:color w:val="000000"/>
          <w:sz w:val="20"/>
        </w:rPr>
        <w:t>,</w:t>
      </w:r>
      <w:r>
        <w:rPr>
          <w:rFonts w:ascii="Cambria" w:hAnsi="Cambria" w:eastAsia="Cambria"/>
          <w:color w:val="000000"/>
          <w:sz w:val="16"/>
          <w:vertAlign w:val="superscript"/>
        </w:rPr>
        <w:t>2†</w:t>
      </w:r>
      <w:r>
        <w:rPr>
          <w:rFonts w:ascii="Cambria" w:hAnsi="Cambria" w:eastAsia="Cambria"/>
          <w:color w:val="000000"/>
          <w:sz w:val="20"/>
        </w:rPr>
        <w:t xml:space="preserve"> </w:t>
      </w:r>
      <w:sdt>
        <w:sdtPr>
          <w:alias w:val="Author approved name"/>
          <w:tag w:val="author-locked-v30-006"/>
          <w:lock w:val="contentLocked"/>
          <w:appearance w:val="hidden"/>
        </w:sdtPr>
        <w:sdtContent>
          <w:r>
            <w:rPr>
              <w:rFonts w:ascii="Cambria" w:hAnsi="Cambria" w:eastAsia="Cambria"/>
              <w:color w:val="000000"/>
              <w:sz w:val="20"/>
            </w:rPr>
            <w:t>Nadezda Kongi</w:t>
          </w:r>
        </w:sdtContent>
      </w:sdt>
      <w:r>
        <w:rPr>
          <w:rFonts w:ascii="Cambria" w:hAnsi="Cambria" w:eastAsia="Cambria"/>
          <w:color w:val="000000"/>
          <w:sz w:val="20"/>
        </w:rPr>
        <w:t>,</w:t>
      </w:r>
      <w:r>
        <w:rPr>
          <w:rFonts w:ascii="Cambria" w:hAnsi="Cambria" w:eastAsia="Cambria"/>
          <w:color w:val="000000"/>
          <w:sz w:val="16"/>
          <w:vertAlign w:val="superscript"/>
        </w:rPr>
        <w:t>1†</w:t>
      </w:r>
    </w:p>
    <w:p>
      <w:pPr>
        <w:keepNext w:val="0"/>
        <w:spacing w:before="0" w:after="120" w:line="259" w:lineRule="auto"/>
        <w:jc w:val="left"/>
      </w:pPr>
      <w:r>
        <w:rPr>
          <w:rFonts w:ascii="Cambria" w:hAnsi="Cambria" w:eastAsia="Cambria"/>
          <w:b w:val="0"/>
          <w:i w:val="0"/>
          <w:color w:val="000000"/>
          <w:sz w:val="22"/>
        </w:rPr>
        <w:t>1 Institute of Chemistry, University of Tartu, Ravila 14a, 50411 Tartu, Estonia</w:t>
      </w:r>
    </w:p>
    <w:p>
      <w:pPr>
        <w:keepNext w:val="0"/>
        <w:spacing w:before="0" w:after="120" w:line="259" w:lineRule="auto"/>
        <w:jc w:val="left"/>
      </w:pPr>
      <w:r>
        <w:rPr>
          <w:rFonts w:ascii="Cambria" w:hAnsi="Cambria" w:eastAsia="Cambria"/>
          <w:b w:val="0"/>
          <w:i w:val="0"/>
          <w:color w:val="000000"/>
          <w:sz w:val="22"/>
        </w:rPr>
        <w:t>2 Department of Chemistry, University of Latvia, Jelgavas iela 1, Riga, LV-1004, Latvia</w:t>
      </w:r>
    </w:p>
    <w:p>
      <w:pPr>
        <w:keepNext w:val="0"/>
        <w:widowControl/>
        <w:spacing w:before="0" w:after="120" w:line="259" w:lineRule="auto"/>
        <w:jc w:val="left"/>
      </w:pPr>
      <w:r>
        <w:rPr>
          <w:rFonts w:ascii="Cambria" w:hAnsi="Cambria" w:eastAsia="Cambria"/>
          <w:b w:val="0"/>
          <w:i w:val="0"/>
          <w:color w:val="000000"/>
          <w:sz w:val="22"/>
        </w:rPr>
        <w:t>Corresponding authors: nadezda.kongi@ut.ee; vladislav.ivanistsev@lu.lv</w:t>
      </w:r>
    </w:p>
    <w:p>
      <w:pPr>
        <w:pStyle w:val="Heading1"/>
        <w:keepNext/>
        <w:spacing w:before="120" w:after="120" w:line="240" w:lineRule="auto"/>
        <w:jc w:val="left"/>
      </w:pPr>
      <w:r>
        <w:rPr>
          <w:rFonts w:ascii="Cambria" w:hAnsi="Cambria" w:eastAsia="Cambria"/>
          <w:b/>
          <w:color w:val="000000"/>
          <w:sz w:val="24"/>
        </w:rPr>
        <w:t>Abstract</w:t>
      </w:r>
    </w:p>
    <w:p>
      <w:pPr>
        <w:keepNext w:val="0"/>
        <w:widowControl/>
        <w:spacing w:before="0" w:after="120" w:line="259" w:lineRule="auto"/>
        <w:jc w:val="both"/>
      </w:pPr>
      <w:r>
        <w:rPr>
          <w:rFonts w:ascii="Cambria" w:hAnsi="Cambria" w:eastAsia="Cambria"/>
          <w:b w:val="0"/>
          <w:i w:val="0"/>
          <w:color w:val="000000"/>
          <w:sz w:val="22"/>
        </w:rPr>
        <w:t>Accelerating catalyst discovery requires timely analysis and clear communication as well as new calculations. We examine how a guided language model can help with these tasks through a study of oxygen reduction on molecular dual-atom site catalysts. We connect optimized molecular structures to adsorption scaling, thermodynamic activity estimates, and regression predictions. The two analyses recover the broad adsorption trends but prioritize different sites, which gives us a concrete reason to inspect the predictions and plan further calculations. We also use the language model to generate the complete article from the research record. This deliberate demonstration asks how much narrative labor researchers need to retain when they can guide and verify its production. We argue that the opportunity is to devote more attention to research design, implementation, and interpretation while delegating much of the analysis and reporting to artificial intelligence.</w:t>
      </w:r>
    </w:p>
    <w:p>
      <w:pPr>
        <w:keepNext w:val="0"/>
        <w:widowControl/>
        <w:spacing w:before="0" w:after="120" w:line="259" w:lineRule="auto"/>
        <w:jc w:val="both"/>
      </w:pPr>
      <w:r>
        <w:rPr>
          <w:rFonts w:ascii="Cambria" w:hAnsi="Cambria" w:eastAsia="Cambria"/>
          <w:b w:val="0"/>
          <w:i w:val="0"/>
          <w:color w:val="000000"/>
          <w:sz w:val="22"/>
        </w:rPr>
        <w:t>Keywords: artificial intelligence; computational hydrogen electrode; density functional theory; machine learning; oxygen reduction reaction; molecular dual-atom site catalysts</w:t>
      </w:r>
    </w:p>
    <w:p>
      <w:pPr>
        <w:pStyle w:val="Heading1"/>
        <w:keepNext/>
        <w:spacing w:before="120" w:after="120" w:line="240" w:lineRule="auto"/>
        <w:jc w:val="left"/>
      </w:pPr>
      <w:r>
        <w:rPr>
          <w:rFonts w:ascii="Cambria" w:hAnsi="Cambria" w:eastAsia="Cambria"/>
          <w:b/>
          <w:color w:val="000000"/>
          <w:sz w:val="24"/>
        </w:rPr>
        <w:t>1. Introduction</w:t>
      </w:r>
    </w:p>
    <w:p>
      <w:pPr>
        <w:keepNext w:val="0"/>
        <w:widowControl/>
        <w:spacing w:before="0" w:after="120" w:line="259" w:lineRule="auto"/>
        <w:jc w:val="both"/>
      </w:pPr>
      <w:r>
        <w:rPr>
          <w:rFonts w:ascii="Cambria" w:hAnsi="Cambria" w:eastAsia="Cambria"/>
          <w:b w:val="0"/>
          <w:i w:val="0"/>
          <w:color w:val="000000"/>
          <w:sz w:val="22"/>
        </w:rPr>
        <w:t xml:space="preserve">Accelerating catalyst discovery with artificial intelligence (AI) requires us to ask where researchers actually spend their effort. Density functional theory (DFT) calculations provide adsorption energies, and regression models help us explore related structures </w:t>
      </w:r>
      <w:r>
        <w:rPr>
          <w:rFonts w:ascii="Cambria" w:hAnsi="Cambria" w:eastAsia="Cambria"/>
          <w:b w:val="0"/>
          <w:i w:val="0"/>
          <w:color w:val="000000"/>
          <w:sz w:val="22"/>
        </w:rPr>
        <w:t>[</w:t>
      </w:r>
      <w:hyperlink r:id="rId13">
        <w:r>
          <w:rPr>
            <w:rFonts w:ascii="Cambria" w:hAnsi="Cambria" w:eastAsia="Cambria"/>
            <w:b w:val="0"/>
            <w:i w:val="0"/>
            <w:color w:val="000000"/>
            <w:sz w:val="22"/>
          </w:rPr>
          <w:t>10.1002/adma.74833</w:t>
        </w:r>
      </w:hyperlink>
      <w:r>
        <w:rPr>
          <w:rFonts w:ascii="Cambria" w:hAnsi="Cambria" w:eastAsia="Cambria"/>
          <w:b w:val="0"/>
          <w:i w:val="0"/>
          <w:color w:val="000000"/>
          <w:sz w:val="22"/>
        </w:rPr>
        <w:t xml:space="preserve">; </w:t>
      </w:r>
      <w:hyperlink r:id="rId14">
        <w:r>
          <w:rPr>
            <w:rFonts w:ascii="Cambria" w:hAnsi="Cambria" w:eastAsia="Cambria"/>
            <w:b w:val="0"/>
            <w:i w:val="0"/>
            <w:color w:val="000000"/>
            <w:sz w:val="22"/>
          </w:rPr>
          <w:t>10.1002/adma.202403549</w:t>
        </w:r>
      </w:hyperlink>
      <w:r>
        <w:rPr>
          <w:rFonts w:ascii="Cambria" w:hAnsi="Cambria" w:eastAsia="Cambria"/>
          <w:b w:val="0"/>
          <w:i w:val="0"/>
          <w:color w:val="000000"/>
          <w:sz w:val="22"/>
        </w:rPr>
        <w:t xml:space="preserve">; </w:t>
      </w:r>
      <w:hyperlink r:id="rId15">
        <w:r>
          <w:rPr>
            <w:rFonts w:ascii="Cambria" w:hAnsi="Cambria" w:eastAsia="Cambria"/>
            <w:b w:val="0"/>
            <w:i w:val="0"/>
            <w:color w:val="000000"/>
            <w:sz w:val="22"/>
          </w:rPr>
          <w:t>10.1021/acscatal.6c02383</w:t>
        </w:r>
      </w:hyperlink>
      <w:r>
        <w:rPr>
          <w:rFonts w:ascii="Cambria" w:hAnsi="Cambria" w:eastAsia="Cambria"/>
          <w:b w:val="0"/>
          <w:i w:val="0"/>
          <w:color w:val="000000"/>
          <w:sz w:val="22"/>
        </w:rPr>
        <w:t>]</w:t>
      </w:r>
      <w:r>
        <w:rPr>
          <w:rFonts w:ascii="Cambria" w:hAnsi="Cambria" w:eastAsia="Cambria"/>
          <w:b w:val="0"/>
          <w:i w:val="0"/>
          <w:color w:val="000000"/>
          <w:sz w:val="22"/>
        </w:rPr>
        <w:t>. Between those calculations and the next research decision, we must organize the data, choose an analysis, examine its meaning, and explain what we have learned. We argue that guided AI can shorten this part of the work as well. Our example is an article in which we direct a language model to analyze molecular catalyst data and write the account you are reading.</w:t>
      </w:r>
    </w:p>
    <w:p>
      <w:pPr>
        <w:keepNext w:val="0"/>
        <w:widowControl/>
        <w:spacing w:before="0" w:after="120" w:line="259" w:lineRule="auto"/>
        <w:jc w:val="both"/>
      </w:pPr>
      <w:r>
        <w:rPr>
          <w:rFonts w:ascii="Cambria" w:hAnsi="Cambria" w:eastAsia="Cambria"/>
          <w:b w:val="0"/>
          <w:i w:val="0"/>
          <w:color w:val="000000"/>
          <w:sz w:val="22"/>
        </w:rPr>
        <w:t xml:space="preserve">A research paper is expected to tell a convincing scientific story. The Nature Physics editorial Elements of style makes narrative the organizing principle of a paper, while the ACS Energy Letters editors connect a coherent theme with an effective discussion </w:t>
      </w:r>
      <w:r>
        <w:rPr>
          <w:rFonts w:ascii="Cambria" w:hAnsi="Cambria" w:eastAsia="Cambria"/>
          <w:b w:val="0"/>
          <w:i w:val="0"/>
          <w:color w:val="000000"/>
          <w:sz w:val="22"/>
        </w:rPr>
        <w:t>[</w:t>
      </w:r>
      <w:hyperlink r:id="rId19">
        <w:r>
          <w:rPr>
            <w:rFonts w:ascii="Cambria" w:hAnsi="Cambria" w:eastAsia="Cambria"/>
            <w:b w:val="0"/>
            <w:i w:val="0"/>
            <w:color w:val="000000"/>
            <w:sz w:val="22"/>
          </w:rPr>
          <w:t>10.1021/acsenergylett.8b02322</w:t>
        </w:r>
      </w:hyperlink>
      <w:r>
        <w:rPr>
          <w:rFonts w:ascii="Cambria" w:hAnsi="Cambria" w:eastAsia="Cambria"/>
          <w:b w:val="0"/>
          <w:i w:val="0"/>
          <w:color w:val="000000"/>
          <w:sz w:val="22"/>
        </w:rPr>
        <w:t xml:space="preserve">; </w:t>
      </w:r>
      <w:hyperlink r:id="rId20">
        <w:r>
          <w:rPr>
            <w:rFonts w:ascii="Cambria" w:hAnsi="Cambria" w:eastAsia="Cambria"/>
            <w:b w:val="0"/>
            <w:i w:val="0"/>
            <w:color w:val="000000"/>
            <w:sz w:val="22"/>
          </w:rPr>
          <w:t>10.1038/nphys724</w:t>
        </w:r>
      </w:hyperlink>
      <w:r>
        <w:rPr>
          <w:rFonts w:ascii="Cambria" w:hAnsi="Cambria" w:eastAsia="Cambria"/>
          <w:b w:val="0"/>
          <w:i w:val="0"/>
          <w:color w:val="000000"/>
          <w:sz w:val="22"/>
        </w:rPr>
        <w:t>]</w:t>
      </w:r>
      <w:r>
        <w:rPr>
          <w:rFonts w:ascii="Cambria" w:hAnsi="Cambria" w:eastAsia="Cambria"/>
          <w:b w:val="0"/>
          <w:i w:val="0"/>
          <w:color w:val="000000"/>
          <w:sz w:val="22"/>
        </w:rPr>
        <w:t xml:space="preserve">. Related editorials ask us to guide readers through the purpose and interpretation of the work and to select figures that carry its central findings </w:t>
      </w:r>
      <w:r>
        <w:rPr>
          <w:rFonts w:ascii="Cambria" w:hAnsi="Cambria" w:eastAsia="Cambria"/>
          <w:b w:val="0"/>
          <w:i w:val="0"/>
          <w:color w:val="000000"/>
          <w:sz w:val="22"/>
        </w:rPr>
        <w:t>[</w:t>
      </w:r>
      <w:hyperlink r:id="rId21">
        <w:r>
          <w:rPr>
            <w:rFonts w:ascii="Cambria" w:hAnsi="Cambria" w:eastAsia="Cambria"/>
            <w:b w:val="0"/>
            <w:i w:val="0"/>
            <w:color w:val="000000"/>
            <w:sz w:val="22"/>
          </w:rPr>
          <w:t>10.1021/acsenergylett.1c02401</w:t>
        </w:r>
      </w:hyperlink>
      <w:r>
        <w:rPr>
          <w:rFonts w:ascii="Cambria" w:hAnsi="Cambria" w:eastAsia="Cambria"/>
          <w:b w:val="0"/>
          <w:i w:val="0"/>
          <w:color w:val="000000"/>
          <w:sz w:val="22"/>
        </w:rPr>
        <w:t xml:space="preserve">; </w:t>
      </w:r>
      <w:hyperlink r:id="rId22">
        <w:r>
          <w:rPr>
            <w:rFonts w:ascii="Cambria" w:hAnsi="Cambria" w:eastAsia="Cambria"/>
            <w:b w:val="0"/>
            <w:i w:val="0"/>
            <w:color w:val="000000"/>
            <w:sz w:val="22"/>
          </w:rPr>
          <w:t>10.1038/s41551-018-0202-5</w:t>
        </w:r>
      </w:hyperlink>
      <w:r>
        <w:rPr>
          <w:rFonts w:ascii="Cambria" w:hAnsi="Cambria" w:eastAsia="Cambria"/>
          <w:b w:val="0"/>
          <w:i w:val="0"/>
          <w:color w:val="000000"/>
          <w:sz w:val="22"/>
        </w:rPr>
        <w:t>]</w:t>
      </w:r>
      <w:r>
        <w:rPr>
          <w:rFonts w:ascii="Cambria" w:hAnsi="Cambria" w:eastAsia="Cambria"/>
          <w:b w:val="0"/>
          <w:i w:val="0"/>
          <w:color w:val="000000"/>
          <w:sz w:val="22"/>
        </w:rPr>
        <w:t>. We accept that demand for clarity. We question whether composing the narrative must remain a major part of a researcher’s labor. If we can direct a language model to assemble a clear account from verifiable records, what should we reserve our attention for?</w:t>
      </w:r>
    </w:p>
    <w:p>
      <w:pPr>
        <w:keepNext w:val="0"/>
        <w:widowControl/>
        <w:spacing w:before="0" w:after="120" w:line="259" w:lineRule="auto"/>
        <w:jc w:val="both"/>
      </w:pPr>
      <w:r>
        <w:rPr>
          <w:rFonts w:ascii="Cambria" w:hAnsi="Cambria" w:eastAsia="Cambria"/>
          <w:b w:val="0"/>
          <w:i w:val="0"/>
          <w:color w:val="000000"/>
          <w:sz w:val="22"/>
        </w:rPr>
        <w:t xml:space="preserve">The answer depends on our control over the evidence. A polished story can conceal inconvenient observations, a danger discussed explicitly in Nature Methods </w:t>
      </w:r>
      <w:r>
        <w:rPr>
          <w:rFonts w:ascii="Cambria" w:hAnsi="Cambria" w:eastAsia="Cambria"/>
          <w:b w:val="0"/>
          <w:i w:val="0"/>
          <w:color w:val="000000"/>
          <w:sz w:val="22"/>
        </w:rPr>
        <w:t>[</w:t>
      </w:r>
      <w:hyperlink r:id="rId23">
        <w:r>
          <w:rPr>
            <w:rFonts w:ascii="Cambria" w:hAnsi="Cambria" w:eastAsia="Cambria"/>
            <w:b w:val="0"/>
            <w:i w:val="0"/>
            <w:color w:val="000000"/>
            <w:sz w:val="22"/>
          </w:rPr>
          <w:t>10.1038/nmeth.2726</w:t>
        </w:r>
      </w:hyperlink>
      <w:r>
        <w:rPr>
          <w:rFonts w:ascii="Cambria" w:hAnsi="Cambria" w:eastAsia="Cambria"/>
          <w:b w:val="0"/>
          <w:i w:val="0"/>
          <w:color w:val="000000"/>
          <w:sz w:val="22"/>
        </w:rPr>
        <w:t>]</w:t>
      </w:r>
      <w:r>
        <w:rPr>
          <w:rFonts w:ascii="Cambria" w:hAnsi="Cambria" w:eastAsia="Cambria"/>
          <w:b w:val="0"/>
          <w:i w:val="0"/>
          <w:color w:val="000000"/>
          <w:sz w:val="22"/>
        </w:rPr>
        <w:t>. A language model can make such a story easier to produce, including claims or images that have no basis in the research. We therefore take responsibility for the questions, calculations, analytical choices, and interpretation. We give the model the records needed to express and inspect that work. This division of labor is the proposition we explore here.</w:t>
      </w:r>
    </w:p>
    <w:p>
      <w:pPr>
        <w:keepNext w:val="0"/>
        <w:widowControl/>
        <w:spacing w:before="0" w:after="120" w:line="259" w:lineRule="auto"/>
        <w:jc w:val="both"/>
      </w:pPr>
      <w:r>
        <w:rPr>
          <w:rFonts w:ascii="Cambria" w:hAnsi="Cambria" w:eastAsia="Cambria"/>
          <w:b w:val="0"/>
          <w:i w:val="0"/>
          <w:color w:val="000000"/>
          <w:sz w:val="22"/>
        </w:rPr>
        <w:t xml:space="preserve">We use the oxygen reduction reaction (ORR) to make the proposition concrete. Its four electron pathway depends on the binding of O, OH, and OOH, so correlated adsorption free energies constrain the thermodynamic activity </w:t>
      </w:r>
      <w:r>
        <w:rPr>
          <w:rFonts w:ascii="Cambria" w:hAnsi="Cambria" w:eastAsia="Cambria"/>
          <w:b w:val="0"/>
          <w:i w:val="0"/>
          <w:color w:val="000000"/>
          <w:sz w:val="22"/>
        </w:rPr>
        <w:t>[</w:t>
      </w:r>
      <w:hyperlink r:id="rId16">
        <w:r>
          <w:rPr>
            <w:rFonts w:ascii="Cambria" w:hAnsi="Cambria" w:eastAsia="Cambria"/>
            <w:b w:val="0"/>
            <w:i w:val="0"/>
            <w:color w:val="000000"/>
            <w:sz w:val="22"/>
          </w:rPr>
          <w:t>10.1021/jp047349j</w:t>
        </w:r>
      </w:hyperlink>
      <w:r>
        <w:rPr>
          <w:rFonts w:ascii="Cambria" w:hAnsi="Cambria" w:eastAsia="Cambria"/>
          <w:b w:val="0"/>
          <w:i w:val="0"/>
          <w:color w:val="000000"/>
          <w:sz w:val="22"/>
        </w:rPr>
        <w:t>]</w:t>
      </w:r>
      <w:r>
        <w:rPr>
          <w:rFonts w:ascii="Cambria" w:hAnsi="Cambria" w:eastAsia="Cambria"/>
          <w:b w:val="0"/>
          <w:i w:val="0"/>
          <w:color w:val="000000"/>
          <w:sz w:val="22"/>
        </w:rPr>
        <w:t xml:space="preserve">. Molecular dual-atom site catalysts give us a defined set in which metal identity, bridge, diamine, and adsorption site can be varied, see </w:t>
      </w: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xml:space="preserve">. Related molecular catalysts show how binding geometry and the second metal can change oxygen intermediate energetics </w:t>
      </w:r>
      <w:r>
        <w:rPr>
          <w:rFonts w:ascii="Cambria" w:hAnsi="Cambria" w:eastAsia="Cambria"/>
          <w:b w:val="0"/>
          <w:i w:val="0"/>
          <w:color w:val="000000"/>
          <w:sz w:val="22"/>
        </w:rPr>
        <w:t>[</w:t>
      </w:r>
      <w:hyperlink r:id="rId17">
        <w:r>
          <w:rPr>
            <w:rFonts w:ascii="Cambria" w:hAnsi="Cambria" w:eastAsia="Cambria"/>
            <w:b w:val="0"/>
            <w:i w:val="0"/>
            <w:color w:val="000000"/>
            <w:sz w:val="22"/>
          </w:rPr>
          <w:t>10.1021/jacs.4c12705</w:t>
        </w:r>
      </w:hyperlink>
      <w:r>
        <w:rPr>
          <w:rFonts w:ascii="Cambria" w:hAnsi="Cambria" w:eastAsia="Cambria"/>
          <w:b w:val="0"/>
          <w:i w:val="0"/>
          <w:color w:val="000000"/>
          <w:sz w:val="22"/>
        </w:rPr>
        <w:t xml:space="preserve">; </w:t>
      </w:r>
      <w:hyperlink r:id="rId18">
        <w:r>
          <w:rPr>
            <w:rFonts w:ascii="Cambria" w:hAnsi="Cambria" w:eastAsia="Cambria"/>
            <w:b w:val="0"/>
            <w:i w:val="0"/>
            <w:color w:val="000000"/>
            <w:sz w:val="22"/>
          </w:rPr>
          <w:t>10.26434/chemrxiv.15001712/v1</w:t>
        </w:r>
      </w:hyperlink>
      <w:r>
        <w:rPr>
          <w:rFonts w:ascii="Cambria" w:hAnsi="Cambria" w:eastAsia="Cambria"/>
          <w:b w:val="0"/>
          <w:i w:val="0"/>
          <w:color w:val="000000"/>
          <w:sz w:val="22"/>
        </w:rPr>
        <w:t>]</w:t>
      </w:r>
      <w:r>
        <w:rPr>
          <w:rFonts w:ascii="Cambria" w:hAnsi="Cambria" w:eastAsia="Cambria"/>
          <w:b w:val="0"/>
          <w:i w:val="0"/>
          <w:color w:val="000000"/>
          <w:sz w:val="22"/>
        </w:rPr>
        <w:t xml:space="preserve">. We first follow those changes through the DFT data in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then ask what a regression model retains in </w:t>
      </w: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The same records also let us revisit the activity descriptor without repeating the underlying calculations. We use that progression to demonstrate how researcher guidance can turn AI assisted analysis and writing into a traceable research account.</w:t>
      </w:r>
    </w:p>
    <w:p>
      <w:pPr>
        <w:pStyle w:val="Heading1"/>
        <w:keepNext/>
        <w:spacing w:before="120" w:after="120" w:line="240" w:lineRule="auto"/>
        <w:jc w:val="left"/>
      </w:pPr>
      <w:r>
        <w:rPr>
          <w:rFonts w:ascii="Cambria" w:hAnsi="Cambria" w:eastAsia="Cambria"/>
          <w:b/>
          <w:color w:val="000000"/>
          <w:sz w:val="24"/>
        </w:rPr>
        <w:t>2. Computational methods</w:t>
      </w:r>
    </w:p>
    <w:p>
      <w:pPr>
        <w:pStyle w:val="Heading2"/>
        <w:keepNext/>
        <w:spacing w:before="120" w:after="120" w:line="240" w:lineRule="auto"/>
        <w:jc w:val="left"/>
      </w:pPr>
      <w:r>
        <w:rPr>
          <w:rFonts w:ascii="Cambria" w:hAnsi="Cambria" w:eastAsia="Cambria"/>
          <w:b/>
          <w:color w:val="000000"/>
          <w:sz w:val="22"/>
        </w:rPr>
        <w:t>2.1. Catalyst structures</w:t>
      </w:r>
    </w:p>
    <w:p>
      <w:pPr>
        <w:keepNext w:val="0"/>
        <w:widowControl/>
        <w:spacing w:before="0" w:after="120" w:line="259" w:lineRule="auto"/>
        <w:jc w:val="both"/>
      </w:pPr>
      <w:r>
        <w:rPr>
          <w:rFonts w:ascii="Cambria" w:hAnsi="Cambria" w:eastAsia="Cambria"/>
          <w:b w:val="0"/>
          <w:i w:val="0"/>
          <w:color w:val="000000"/>
          <w:sz w:val="22"/>
        </w:rPr>
        <w:t xml:space="preserve">We assembled the molecular catalysts from the components shown in </w:t>
      </w: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xml:space="preserve">: two metal centers chosen from Cr, Mn, Fe, Co, Ni, and Cu; the A2 dialdehyde; a B1 or B2 diamine; and N, O, or </w:t>
      </w:r>
      <w:r>
        <w:rPr>
          <w:rFonts w:ascii="Cambria" w:hAnsi="Cambria" w:eastAsia="Cambria"/>
          <w:b w:val="0"/>
          <w:i/>
          <w:color w:val="000000"/>
          <w:sz w:val="22"/>
        </w:rPr>
        <w:t>S</w:t>
      </w:r>
      <w:r>
        <w:rPr>
          <w:rFonts w:ascii="Cambria" w:hAnsi="Cambria" w:eastAsia="Cambria"/>
          <w:b w:val="0"/>
          <w:i w:val="0"/>
          <w:color w:val="000000"/>
          <w:sz w:val="22"/>
        </w:rPr>
        <w:t xml:space="preserve"> bridge atoms. The original database describes the molecular assembly and initial structure preparation </w:t>
      </w:r>
      <w:r>
        <w:rPr>
          <w:rFonts w:ascii="Cambria" w:hAnsi="Cambria" w:eastAsia="Cambria"/>
          <w:b w:val="0"/>
          <w:i w:val="0"/>
          <w:color w:val="000000"/>
          <w:sz w:val="22"/>
        </w:rPr>
        <w:t>[</w:t>
      </w:r>
      <w:hyperlink r:id="rId24">
        <w:r>
          <w:rPr>
            <w:rFonts w:ascii="Cambria" w:hAnsi="Cambria" w:eastAsia="Cambria"/>
            <w:b w:val="0"/>
            <w:i w:val="0"/>
            <w:color w:val="000000"/>
            <w:sz w:val="22"/>
          </w:rPr>
          <w:t>10.1016/j.dib.2026.112806</w:t>
        </w:r>
      </w:hyperlink>
      <w:r>
        <w:rPr>
          <w:rFonts w:ascii="Cambria" w:hAnsi="Cambria" w:eastAsia="Cambria"/>
          <w:b w:val="0"/>
          <w:i w:val="0"/>
          <w:color w:val="000000"/>
          <w:sz w:val="22"/>
        </w:rPr>
        <w:t>]</w:t>
      </w:r>
      <w:r>
        <w:rPr>
          <w:rFonts w:ascii="Cambria" w:hAnsi="Cambria" w:eastAsia="Cambria"/>
          <w:b w:val="0"/>
          <w:i w:val="0"/>
          <w:color w:val="000000"/>
          <w:sz w:val="22"/>
        </w:rPr>
        <w:t>. We fully optimized all structures used in the DFT analysis, including the clean catalysts and structures containing adsorbed intermediates. The clean database used here contains 88 molecular catalysts.</w:t>
      </w:r>
    </w:p>
    <w:p>
      <w:pPr>
        <w:keepNext w:val="0"/>
        <w:widowControl/>
        <w:spacing w:before="0" w:after="120" w:line="259" w:lineRule="auto"/>
        <w:jc w:val="both"/>
      </w:pPr>
      <w:r>
        <w:rPr>
          <w:rFonts w:ascii="Cambria" w:hAnsi="Cambria" w:eastAsia="Cambria"/>
          <w:b w:val="0"/>
          <w:i w:val="0"/>
          <w:color w:val="000000"/>
          <w:sz w:val="22"/>
        </w:rPr>
        <w:t>We retained the catalyst identity, metal positions, ligand components, and charge metadata in the Atomic Simulation Environment (ASE) database.</w:t>
      </w:r>
    </w:p>
    <w:p>
      <w:pPr>
        <w:pStyle w:val="Heading2"/>
        <w:keepNext/>
        <w:spacing w:before="120" w:after="120" w:line="240" w:lineRule="auto"/>
        <w:jc w:val="left"/>
      </w:pPr>
      <w:r>
        <w:rPr>
          <w:rFonts w:ascii="Cambria" w:hAnsi="Cambria" w:eastAsia="Cambria"/>
          <w:b/>
          <w:color w:val="000000"/>
          <w:sz w:val="22"/>
        </w:rPr>
        <w:t>2.2. Density functional theory calculations</w:t>
      </w:r>
    </w:p>
    <w:p>
      <w:pPr>
        <w:keepNext w:val="0"/>
        <w:widowControl/>
        <w:spacing w:before="0" w:after="120" w:line="259" w:lineRule="auto"/>
        <w:jc w:val="both"/>
      </w:pPr>
      <w:r>
        <w:rPr>
          <w:rFonts w:ascii="Cambria" w:hAnsi="Cambria" w:eastAsia="Cambria"/>
          <w:b w:val="0"/>
          <w:i w:val="0"/>
          <w:color w:val="000000"/>
          <w:sz w:val="22"/>
        </w:rPr>
        <w:t xml:space="preserve">We performed spin polarized DFT calculations using GPAW 26.7 and ASE 3.29.0 software </w:t>
      </w:r>
      <w:r>
        <w:rPr>
          <w:rFonts w:ascii="Cambria" w:hAnsi="Cambria" w:eastAsia="Cambria"/>
          <w:b w:val="0"/>
          <w:i w:val="0"/>
          <w:color w:val="000000"/>
          <w:sz w:val="22"/>
        </w:rPr>
        <w:t>[</w:t>
      </w:r>
      <w:hyperlink r:id="rId25">
        <w:r>
          <w:rPr>
            <w:rFonts w:ascii="Cambria" w:hAnsi="Cambria" w:eastAsia="Cambria"/>
            <w:b w:val="0"/>
            <w:i w:val="0"/>
            <w:color w:val="000000"/>
            <w:sz w:val="22"/>
          </w:rPr>
          <w:t>10.1063/5.0182685</w:t>
        </w:r>
      </w:hyperlink>
      <w:r>
        <w:rPr>
          <w:rFonts w:ascii="Cambria" w:hAnsi="Cambria" w:eastAsia="Cambria"/>
          <w:b w:val="0"/>
          <w:i w:val="0"/>
          <w:color w:val="000000"/>
          <w:sz w:val="22"/>
        </w:rPr>
        <w:t xml:space="preserve">; </w:t>
      </w:r>
      <w:hyperlink r:id="rId26">
        <w:r>
          <w:rPr>
            <w:rFonts w:ascii="Cambria" w:hAnsi="Cambria" w:eastAsia="Cambria"/>
            <w:b w:val="0"/>
            <w:i w:val="0"/>
            <w:color w:val="000000"/>
            <w:sz w:val="22"/>
          </w:rPr>
          <w:t>10.1088/1361-648X/aa680e</w:t>
        </w:r>
      </w:hyperlink>
      <w:r>
        <w:rPr>
          <w:rFonts w:ascii="Cambria" w:hAnsi="Cambria" w:eastAsia="Cambria"/>
          <w:b w:val="0"/>
          <w:i w:val="0"/>
          <w:color w:val="000000"/>
          <w:sz w:val="22"/>
        </w:rPr>
        <w:t>]</w:t>
      </w:r>
      <w:r>
        <w:rPr>
          <w:rFonts w:ascii="Cambria" w:hAnsi="Cambria" w:eastAsia="Cambria"/>
          <w:b w:val="0"/>
          <w:i w:val="0"/>
          <w:color w:val="000000"/>
          <w:sz w:val="22"/>
        </w:rPr>
        <w:t xml:space="preserve">. We used the projector augmented wave method, the revised Perdew–Burke–Ernzerhof functional, and the D4 dispersion correction </w:t>
      </w:r>
      <w:r>
        <w:rPr>
          <w:rFonts w:ascii="Cambria" w:hAnsi="Cambria" w:eastAsia="Cambria"/>
          <w:b w:val="0"/>
          <w:i w:val="0"/>
          <w:color w:val="000000"/>
          <w:sz w:val="22"/>
        </w:rPr>
        <w:t>[</w:t>
      </w:r>
      <w:hyperlink r:id="rId27">
        <w:r>
          <w:rPr>
            <w:rFonts w:ascii="Cambria" w:hAnsi="Cambria" w:eastAsia="Cambria"/>
            <w:b w:val="0"/>
            <w:i w:val="0"/>
            <w:color w:val="000000"/>
            <w:sz w:val="22"/>
          </w:rPr>
          <w:t>10.1063/1.5090222</w:t>
        </w:r>
      </w:hyperlink>
      <w:r>
        <w:rPr>
          <w:rFonts w:ascii="Cambria" w:hAnsi="Cambria" w:eastAsia="Cambria"/>
          <w:b w:val="0"/>
          <w:i w:val="0"/>
          <w:color w:val="000000"/>
          <w:sz w:val="22"/>
        </w:rPr>
        <w:t>]</w:t>
      </w:r>
      <w:r>
        <w:rPr>
          <w:rFonts w:ascii="Cambria" w:hAnsi="Cambria" w:eastAsia="Cambria"/>
          <w:b w:val="0"/>
          <w:i w:val="0"/>
          <w:color w:val="000000"/>
          <w:sz w:val="22"/>
        </w:rPr>
        <w:t xml:space="preserve">. The calculations used a plane wave cutoff of 550 eV, a real space grid spacing of 0.16 Å, 6.00 Å vacuum, and Γ point sampling for isolated molecules. We fully relaxed the atomic positions and converged the electronic density. We calculated gas phase H₂ and H₂O with the same settings. This methodology follows our work on related molecular catalysts </w:t>
      </w:r>
      <w:r>
        <w:rPr>
          <w:rFonts w:ascii="Cambria" w:hAnsi="Cambria" w:eastAsia="Cambria"/>
          <w:b w:val="0"/>
          <w:i w:val="0"/>
          <w:color w:val="000000"/>
          <w:sz w:val="22"/>
        </w:rPr>
        <w:t>[</w:t>
      </w:r>
      <w:hyperlink r:id="rId18">
        <w:r>
          <w:rPr>
            <w:rFonts w:ascii="Cambria" w:hAnsi="Cambria" w:eastAsia="Cambria"/>
            <w:b w:val="0"/>
            <w:i w:val="0"/>
            <w:color w:val="000000"/>
            <w:sz w:val="22"/>
          </w:rPr>
          <w:t>10.26434/chemrxiv.15001712/v1</w:t>
        </w:r>
      </w:hyperlink>
      <w:r>
        <w:rPr>
          <w:rFonts w:ascii="Cambria" w:hAnsi="Cambria" w:eastAsia="Cambria"/>
          <w:b w:val="0"/>
          <w:i w:val="0"/>
          <w:color w:val="000000"/>
          <w:sz w:val="22"/>
        </w:rPr>
        <w:t>]</w:t>
      </w:r>
      <w:r>
        <w:rPr>
          <w:rFonts w:ascii="Cambria" w:hAnsi="Cambria" w:eastAsia="Cambria"/>
          <w:b w:val="0"/>
          <w:i w:val="0"/>
          <w:color w:val="000000"/>
          <w:sz w:val="22"/>
        </w:rPr>
        <w:t>.</w:t>
      </w:r>
    </w:p>
    <w:p>
      <w:pPr>
        <w:pStyle w:val="Heading2"/>
        <w:keepNext/>
        <w:spacing w:before="120" w:after="120" w:line="240" w:lineRule="auto"/>
        <w:jc w:val="left"/>
      </w:pPr>
      <w:r>
        <w:rPr>
          <w:rFonts w:ascii="Cambria" w:hAnsi="Cambria" w:eastAsia="Cambria"/>
          <w:b/>
          <w:color w:val="000000"/>
          <w:sz w:val="22"/>
        </w:rPr>
        <w:t>2.3. Adsorption structures and database matching</w:t>
      </w:r>
    </w:p>
    <w:p>
      <w:pPr>
        <w:keepNext w:val="0"/>
        <w:widowControl/>
        <w:spacing w:before="0" w:after="120" w:line="259" w:lineRule="auto"/>
        <w:jc w:val="both"/>
      </w:pPr>
      <w:r>
        <w:rPr>
          <w:rFonts w:ascii="Cambria" w:hAnsi="Cambria" w:eastAsia="Cambria"/>
          <w:b w:val="0"/>
          <w:i w:val="0"/>
          <w:color w:val="000000"/>
          <w:sz w:val="22"/>
        </w:rPr>
        <w:t xml:space="preserve">We placed O, OH, and OOH at the metal adsorption sites identified in </w:t>
      </w: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xml:space="preserve"> and fully optimized each structure. For OOH, we retained the lower energy of the two tested initial orientations at each site. We joined all intermediate energies by catalyst name and adsorption site label. Thus, each reaction pathway refers to one specific metal atom in one molecular catalyst.</w:t>
      </w:r>
    </w:p>
    <w:p>
      <w:pPr>
        <w:keepNext w:val="0"/>
        <w:widowControl/>
        <w:spacing w:before="0" w:after="120" w:line="259" w:lineRule="auto"/>
        <w:jc w:val="both"/>
      </w:pPr>
      <w:r>
        <w:rPr>
          <w:rFonts w:ascii="Cambria" w:hAnsi="Cambria" w:eastAsia="Cambria"/>
          <w:b w:val="0"/>
          <w:i w:val="0"/>
          <w:color w:val="000000"/>
          <w:sz w:val="22"/>
        </w:rPr>
        <w:t>We defined adsorption energies from the total energies of the clean catalyst, adsorbed structures, and gas phase references using Eqs. (1)–(3). An asterisk denotes the clean adsorption site or a bound intermediate, as appropriate. The analysis used the supplied corrected adsorption free energies directly for scaling, filtering, and thermodynamic activity estimates.</w:t>
      </w:r>
    </w:p>
    <w:p>
      <w:pPr>
        <w:keepNext w:val="0"/>
        <w:tabs>
          <w:tab w:pos="9524" w:val="right"/>
        </w:tabs>
        <w:spacing w:before="0" w:after="120" w:line="259" w:lineRule="auto"/>
        <w:jc w:val="left"/>
      </w:pPr>
      <m:oMathPara>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(1)</w:t>
      </w:r>
    </w:p>
    <w:p>
      <w:pPr>
        <w:keepNext w:val="0"/>
        <w:tabs>
          <w:tab w:pos="9524" w:val="right"/>
        </w:tabs>
        <w:spacing w:before="0" w:after="120" w:line="259" w:lineRule="auto"/>
        <w:jc w:val="left"/>
      </w:pPr>
      <m:oMathPara>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(2)</w:t>
      </w:r>
    </w:p>
    <w:p>
      <w:pPr>
        <w:keepNext w:val="0"/>
        <w:tabs>
          <w:tab w:pos="9524" w:val="right"/>
        </w:tabs>
        <w:spacing w:before="0" w:after="120" w:line="259" w:lineRule="auto"/>
        <w:jc w:val="left"/>
      </w:pPr>
      <m:oMathPara>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(3)</w:t>
      </w:r>
    </w:p>
    <w:p>
      <w:pPr>
        <w:pStyle w:val="Heading2"/>
        <w:keepNext/>
        <w:spacing w:before="120" w:after="120" w:line="240" w:lineRule="auto"/>
        <w:jc w:val="left"/>
      </w:pPr>
      <w:r>
        <w:rPr>
          <w:rFonts w:ascii="Cambria" w:hAnsi="Cambria" w:eastAsia="Cambria"/>
          <w:b/>
          <w:color w:val="000000"/>
          <w:sz w:val="22"/>
        </w:rPr>
        <w:t>2.4. Adsorption free energies and ORR thermodynamics</w:t>
      </w:r>
    </w:p>
    <w:p>
      <w:pPr>
        <w:keepNext w:val="0"/>
        <w:widowControl/>
        <w:spacing w:before="0" w:after="120" w:line="259" w:lineRule="auto"/>
        <w:jc w:val="both"/>
      </w:pPr>
      <w:r>
        <w:rPr>
          <w:rFonts w:ascii="Cambria" w:hAnsi="Cambria" w:eastAsia="Cambria"/>
          <w:b w:val="0"/>
          <w:i w:val="0"/>
          <w:color w:val="000000"/>
          <w:sz w:val="22"/>
        </w:rPr>
        <w:t xml:space="preserve">Adsorption free energies include zero point energy and entropy contributions as expressed in Eq. (4), where X denotes O, OH, or OOH, </w:t>
      </w:r>
      <w:r>
        <w:rPr>
          <w:rFonts w:ascii="Cambria" w:hAnsi="Cambria" w:eastAsia="Cambria"/>
          <w:b w:val="0"/>
          <w:i/>
          <w:color w:val="000000"/>
          <w:sz w:val="22"/>
        </w:rPr>
        <w:t>E</w:t>
      </w:r>
      <w:r>
        <w:rPr>
          <w:rFonts w:ascii="Cambria" w:hAnsi="Cambria" w:eastAsia="Cambria"/>
          <w:b w:val="0"/>
          <w:i w:val="0"/>
          <w:color w:val="000000"/>
          <w:sz w:val="22"/>
        </w:rPr>
        <w:t xml:space="preserve"> denotes electronic energy, </w:t>
      </w:r>
      <w:r>
        <w:rPr>
          <w:rFonts w:ascii="Cambria" w:hAnsi="Cambria" w:eastAsia="Cambria"/>
          <w:b w:val="0"/>
          <w:i/>
          <w:color w:val="000000"/>
          <w:sz w:val="22"/>
        </w:rPr>
        <w:t>G</w:t>
      </w:r>
      <w:r>
        <w:rPr>
          <w:rFonts w:ascii="Cambria" w:hAnsi="Cambria" w:eastAsia="Cambria"/>
          <w:b w:val="0"/>
          <w:i w:val="0"/>
          <w:color w:val="000000"/>
          <w:sz w:val="22"/>
        </w:rPr>
        <w:t xml:space="preserve"> Gibbs free energy, </w:t>
      </w:r>
      <w:r>
        <w:rPr>
          <w:rFonts w:ascii="Cambria" w:hAnsi="Cambria" w:eastAsia="Cambria"/>
          <w:b w:val="0"/>
          <w:i/>
          <w:color w:val="000000"/>
          <w:sz w:val="22"/>
        </w:rPr>
        <w:t>T</w:t>
      </w:r>
      <w:r>
        <w:rPr>
          <w:rFonts w:ascii="Cambria" w:hAnsi="Cambria" w:eastAsia="Cambria"/>
          <w:b w:val="0"/>
          <w:i w:val="0"/>
          <w:color w:val="000000"/>
          <w:sz w:val="22"/>
        </w:rPr>
        <w:t xml:space="preserve"> temperature, and </w:t>
      </w:r>
      <w:r>
        <w:rPr>
          <w:rFonts w:ascii="Cambria" w:hAnsi="Cambria" w:eastAsia="Cambria"/>
          <w:b w:val="0"/>
          <w:i/>
          <w:color w:val="000000"/>
          <w:sz w:val="22"/>
        </w:rPr>
        <w:t>S</w:t>
      </w:r>
      <w:r>
        <w:rPr>
          <w:rFonts w:ascii="Cambria" w:hAnsi="Cambria" w:eastAsia="Cambria"/>
          <w:b w:val="0"/>
          <w:i w:val="0"/>
          <w:color w:val="000000"/>
          <w:sz w:val="22"/>
        </w:rPr>
        <w:t xml:space="preserve"> entropy. The subscript ZP denotes the zero point contribution. For this analysis, we treated the supplied values as already corrected. The computational hydrogen electrode (CHE) represents the chemical potential of a proton and electron pair by one half of that of H₂ at zero potential </w:t>
      </w:r>
      <w:r>
        <w:rPr>
          <w:rFonts w:ascii="Cambria" w:hAnsi="Cambria" w:eastAsia="Cambria"/>
          <w:b w:val="0"/>
          <w:i w:val="0"/>
          <w:color w:val="000000"/>
          <w:sz w:val="22"/>
        </w:rPr>
        <w:t>[</w:t>
      </w:r>
      <w:hyperlink r:id="rId16">
        <w:r>
          <w:rPr>
            <w:rFonts w:ascii="Cambria" w:hAnsi="Cambria" w:eastAsia="Cambria"/>
            <w:b w:val="0"/>
            <w:i w:val="0"/>
            <w:color w:val="000000"/>
            <w:sz w:val="22"/>
          </w:rPr>
          <w:t>10.1021/jp047349j</w:t>
        </w:r>
      </w:hyperlink>
      <w:r>
        <w:rPr>
          <w:rFonts w:ascii="Cambria" w:hAnsi="Cambria" w:eastAsia="Cambria"/>
          <w:b w:val="0"/>
          <w:i w:val="0"/>
          <w:color w:val="000000"/>
          <w:sz w:val="22"/>
        </w:rPr>
        <w:t>]</w:t>
      </w:r>
      <w:r>
        <w:rPr>
          <w:rFonts w:ascii="Cambria" w:hAnsi="Cambria" w:eastAsia="Cambria"/>
          <w:b w:val="0"/>
          <w:i w:val="0"/>
          <w:color w:val="000000"/>
          <w:sz w:val="22"/>
        </w:rPr>
        <w:t>.</w:t>
      </w:r>
    </w:p>
    <w:p>
      <w:pPr>
        <w:keepNext w:val="0"/>
        <w:widowControl/>
        <w:spacing w:before="0" w:after="120" w:line="259" w:lineRule="auto"/>
        <w:jc w:val="both"/>
      </w:pPr>
      <w:r>
        <w:rPr>
          <w:rFonts w:ascii="Cambria" w:hAnsi="Cambria" w:eastAsia="Cambria"/>
          <w:b w:val="0"/>
          <w:i w:val="0"/>
          <w:color w:val="000000"/>
          <w:sz w:val="22"/>
        </w:rPr>
        <w:t>For the associative four electron ORR pathway, Eq. (5) defines the step reduction potentials from the adsorption free energies and the elementary charge. Their minimum gives the limiting potential in Eq. (6). The overpotential in Eq. (7) is referenced to the equilibrium potential of 1.23 V. Chemical subscripts identify the adsorbed intermediate.</w:t>
      </w:r>
    </w:p>
    <w:p>
      <w:pPr>
        <w:keepNext w:val="0"/>
        <w:tabs>
          <w:tab w:pos="9524" w:val="right"/>
        </w:tabs>
        <w:spacing w:before="0" w:after="120" w:line="259" w:lineRule="auto"/>
        <w:jc w:val="left"/>
      </w:pPr>
      <m:oMathPara>
        <m:oMath>
          <m:r>
            <m:rPr>
              <m:sty m:val="p"/>
            </m:rPr>
            <w:rPr>
              <w:rFonts w:ascii="Cambria Math" w:hAnsi="Cambria Math"/>
            </w:rPr>
            <m:t xml:space="preserve">Δ</m:t>
          </m:r>
          <m:sSub>
            <m:e>
              <m:r>
                <m:rPr>
                  <m:sty m:val="i"/>
                </m:rPr>
                <w:rPr>
                  <w:rFonts w:ascii="Cambria Math" w:hAnsi="Cambria Math"/>
                </w:rPr>
                <m:t xml:space="preserve">G</m:t>
              </m:r>
            </m:e>
            <m:sub>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E</m:t>
              </m:r>
            </m:e>
            <m:sub>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ZP</m:t>
              </m:r>
              <m:r>
                <m:rPr>
                  <m:sty m:val="p"/>
                </m:rPr>
                <w:rPr>
                  <w:rFonts w:ascii="Cambria Math" w:hAnsi="Cambria Math"/>
                </w:rPr>
                <m:t xml:space="preserve">,</m:t>
              </m:r>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T</m:t>
          </m:r>
          <m:r>
            <m:rPr>
              <m:sty m:val="p"/>
            </m:rPr>
            <w:rPr>
              <w:rFonts w:ascii="Cambria Math" w:hAnsi="Cambria Math"/>
            </w:rPr>
            <m:t xml:space="preserve">Δ</m:t>
          </m:r>
          <m:sSub>
            <m:e>
              <m:r>
                <m:rPr>
                  <m:sty m:val="i"/>
                </m:rPr>
                <w:rPr>
                  <w:rFonts w:ascii="Cambria Math" w:hAnsi="Cambria Math"/>
                </w:rPr>
                <m:t xml:space="preserve">S</m:t>
              </m:r>
            </m:e>
            <m:sub>
              <m:r>
                <m:rPr>
                  <m:sty m:val="i"/>
                </m:rPr>
                <w:rPr>
                  <w:rFonts w:ascii="Cambria Math" w:hAnsi="Cambria Math"/>
                </w:rPr>
                <m:t xml:space="preserve">X</m:t>
              </m:r>
            </m:sub>
          </m:sSub>
        </m:oMath>
      </m:oMathPara>
      <w:r>
        <w:rPr>
          <w:rFonts w:ascii="Cambria" w:hAnsi="Cambria" w:eastAsia="Cambria"/>
          <w:color w:val="000000"/>
          <w:sz w:val="20"/>
        </w:rPr>
        <w:tab/>
        <w:t>(4)</w:t>
      </w:r>
    </w:p>
    <w:p>
      <w:pPr>
        <w:keepNext w:val="0"/>
        <w:tabs>
          <w:tab w:pos="9524" w:val="right"/>
        </w:tabs>
        <w:spacing w:before="0" w:after="120" w:line="259" w:lineRule="auto"/>
        <w:jc w:val="left"/>
      </w:pPr>
      <m:oMathPara>
        <m:oMath>
          <m:eqArr>
            <m:e>
              <m:sSub>
                <m:e>
                  <m:r>
                    <m:rPr>
                      <m:sty m:val="i"/>
                    </m:rP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4.92</m:t>
              </m:r>
              <m:r>
                <m:rPr>
                  <m:sty m:val="p"/>
                </m:rPr>
                <w:rPr>
                  <w:rFonts w:ascii="Cambria Math" w:hAnsi="Cambria Math"/>
                </w:rPr>
                <m:t xml:space="preserve"> </m:t>
              </m:r>
              <m:r>
                <m:rPr>
                  <m:sty m:val="p"/>
                </m:rPr>
                <w:rPr>
                  <w:rFonts w:ascii="Cambria Math" w:hAnsi="Cambria Math"/>
                </w:rPr>
                <m:t xml:space="preserve">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2</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3</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4</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qArr>
        </m:oMath>
      </m:oMathPara>
      <w:r>
        <w:rPr>
          <w:rFonts w:ascii="Cambria" w:hAnsi="Cambria" w:eastAsia="Cambria"/>
          <w:color w:val="000000"/>
          <w:sz w:val="20"/>
        </w:rPr>
        <w:tab/>
        <w:t>(5)</w:t>
      </w:r>
    </w:p>
    <w:p>
      <w:pPr>
        <w:keepNext w:val="0"/>
        <w:tabs>
          <w:tab w:pos="9524" w:val="right"/>
        </w:tabs>
        <w:spacing w:before="0" w:after="120" w:line="259" w:lineRule="auto"/>
        <w:jc w:val="left"/>
      </w:pPr>
      <m:oMathPara>
        <m:oMath>
          <m:sSub>
            <m:e>
              <m:r>
                <m:rPr>
                  <m:sty m:val="i"/>
                </m:rPr>
                <w:rPr>
                  <w:rFonts w:ascii="Cambria Math" w:hAnsi="Cambria Math"/>
                </w:rPr>
                <m:t xml:space="preserve">U</m:t>
              </m:r>
            </m:e>
            <m:sub>
              <m:r>
                <m:rPr>
                  <m:sty m:val="p"/>
                </m:rPr>
                <w:rPr>
                  <w:rFonts w:ascii="Cambria Math" w:hAnsi="Cambria Math"/>
                </w:rPr>
                <m:t xml:space="preserve">L</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min</m:t>
          </m:r>
          <m:r>
            <m:rPr>
              <m:sty m:val="p"/>
            </m:rPr>
            <w:rPr>
              <w:rFonts w:ascii="Cambria Math" w:hAnsi="Cambria Math"/>
            </w:rPr>
            <m:t xml:space="preserve">(</m:t>
          </m:r>
          <m:sSub>
            <m:e>
              <m:r>
                <m:rPr>
                  <m:sty m:val="i"/>
                </m:rP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4</m:t>
              </m:r>
            </m:sub>
          </m:sSub>
          <m:r>
            <m:rPr>
              <m:sty m:val="p"/>
            </m:rPr>
            <w:rPr>
              <w:rFonts w:ascii="Cambria Math" w:hAnsi="Cambria Math"/>
            </w:rPr>
            <m:t xml:space="preserve">)</m:t>
          </m:r>
        </m:oMath>
      </m:oMathPara>
      <w:r>
        <w:rPr>
          <w:rFonts w:ascii="Cambria" w:hAnsi="Cambria" w:eastAsia="Cambria"/>
          <w:color w:val="000000"/>
          <w:sz w:val="20"/>
        </w:rPr>
        <w:tab/>
        <w:t>(6)</w:t>
      </w:r>
    </w:p>
    <w:p>
      <w:pPr>
        <w:keepNext w:val="0"/>
        <w:tabs>
          <w:tab w:pos="9524" w:val="right"/>
        </w:tabs>
        <w:spacing w:before="0" w:after="120" w:line="259" w:lineRule="auto"/>
        <w:jc w:val="left"/>
      </w:pPr>
      <m:oMathPara>
        <m:oMath>
          <m:sSub>
            <m:e>
              <m:r>
                <m:rPr>
                  <m:sty m:val="p"/>
                </m:rPr>
                <w:rPr>
                  <w:rFonts w:ascii="Cambria Math" w:hAnsi="Cambria Math"/>
                </w:rPr>
                <m:t xml:space="preserve">η</m:t>
              </m:r>
            </m:e>
            <m:sub>
              <m:r>
                <m:rPr>
                  <m:sty m:val="p"/>
                </m:rPr>
                <w:rPr>
                  <w:rFonts w:ascii="Cambria Math" w:hAnsi="Cambria Math"/>
                </w:rPr>
                <m:t xml:space="preserve">ORR</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1.23</m:t>
          </m:r>
          <m:r>
            <m:rPr>
              <m:sty m:val="p"/>
            </m:rPr>
            <w:rPr>
              <w:rFonts w:ascii="Cambria Math" w:hAnsi="Cambria Math"/>
            </w:rPr>
            <m:t xml:space="preserve"> </m:t>
          </m:r>
          <m:r>
            <m:rPr>
              <m:sty m:val="p"/>
            </m:rPr>
            <w:rPr>
              <w:rFonts w:ascii="Cambria Math" w:hAnsi="Cambria Math"/>
            </w:rPr>
            <m:t xml:space="preserv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L</m:t>
              </m:r>
            </m:sub>
          </m:sSub>
        </m:oMath>
      </m:oMathPara>
      <w:r>
        <w:rPr>
          <w:rFonts w:ascii="Cambria" w:hAnsi="Cambria" w:eastAsia="Cambria"/>
          <w:color w:val="000000"/>
          <w:sz w:val="20"/>
        </w:rPr>
        <w:tab/>
        <w:t>(7)</w:t>
      </w:r>
    </w:p>
    <w:p>
      <w:pPr>
        <w:pStyle w:val="Heading2"/>
        <w:keepNext/>
        <w:spacing w:before="120" w:after="120" w:line="240" w:lineRule="auto"/>
        <w:jc w:val="left"/>
      </w:pPr>
      <w:r>
        <w:rPr>
          <w:rFonts w:ascii="Cambria" w:hAnsi="Cambria" w:eastAsia="Cambria"/>
          <w:b/>
          <w:color w:val="000000"/>
          <w:sz w:val="22"/>
        </w:rPr>
        <w:t>2.5. Scaling and thermodynamic activity analyses</w:t>
      </w:r>
    </w:p>
    <w:p>
      <w:pPr>
        <w:keepNext w:val="0"/>
        <w:widowControl/>
        <w:spacing w:before="0" w:after="120" w:line="259" w:lineRule="auto"/>
        <w:jc w:val="both"/>
      </w:pPr>
      <w:r>
        <w:rPr>
          <w:rFonts w:ascii="Cambria" w:hAnsi="Cambria" w:eastAsia="Cambria"/>
          <w:b w:val="0"/>
          <w:i w:val="0"/>
          <w:color w:val="000000"/>
          <w:sz w:val="22"/>
        </w:rPr>
        <w:t xml:space="preserve">We fitted O–OH and OOH–OH adsorption free energy scaling relations by ordinary least squares using Eq. (8). We retained sites with OH adsorption free energy of at least 0.00 eV and O adsorption free energy no greater than 4.92 eV. The curves in Figures 2 and 3 propagate the corresponding global scaling fits through all four CHE steps. The electrochemical step symmetry index and free energy span offer complementary thermodynamic interpretations of the same adsorption records </w:t>
      </w:r>
      <w:r>
        <w:rPr>
          <w:rFonts w:ascii="Cambria" w:hAnsi="Cambria" w:eastAsia="Cambria"/>
          <w:b w:val="0"/>
          <w:i w:val="0"/>
          <w:color w:val="000000"/>
          <w:sz w:val="22"/>
        </w:rPr>
        <w:t>[</w:t>
      </w:r>
      <w:hyperlink r:id="rId28">
        <w:r>
          <w:rPr>
            <w:rFonts w:ascii="Cambria" w:hAnsi="Cambria" w:eastAsia="Cambria"/>
            <w:b w:val="0"/>
            <w:i w:val="0"/>
            <w:color w:val="000000"/>
            <w:sz w:val="22"/>
          </w:rPr>
          <w:t>10.1016/j.coelec.2018.03.025</w:t>
        </w:r>
      </w:hyperlink>
      <w:r>
        <w:rPr>
          <w:rFonts w:ascii="Cambria" w:hAnsi="Cambria" w:eastAsia="Cambria"/>
          <w:b w:val="0"/>
          <w:i w:val="0"/>
          <w:color w:val="000000"/>
          <w:sz w:val="22"/>
        </w:rPr>
        <w:t xml:space="preserve">; </w:t>
      </w:r>
      <w:hyperlink r:id="rId29">
        <w:r>
          <w:rPr>
            <w:rFonts w:ascii="Cambria" w:hAnsi="Cambria" w:eastAsia="Cambria"/>
            <w:b w:val="0"/>
            <w:i w:val="0"/>
            <w:color w:val="000000"/>
            <w:sz w:val="22"/>
          </w:rPr>
          <w:t>10.1021/acscatal.2c03997</w:t>
        </w:r>
      </w:hyperlink>
      <w:r>
        <w:rPr>
          <w:rFonts w:ascii="Cambria" w:hAnsi="Cambria" w:eastAsia="Cambria"/>
          <w:b w:val="0"/>
          <w:i w:val="0"/>
          <w:color w:val="000000"/>
          <w:sz w:val="22"/>
        </w:rPr>
        <w:t>]</w:t>
      </w:r>
      <w:r>
        <w:rPr>
          <w:rFonts w:ascii="Cambria" w:hAnsi="Cambria" w:eastAsia="Cambria"/>
          <w:b w:val="0"/>
          <w:i w:val="0"/>
          <w:color w:val="000000"/>
          <w:sz w:val="22"/>
        </w:rPr>
        <w:t>.</w:t>
      </w:r>
    </w:p>
    <w:p>
      <w:pPr>
        <w:keepNext w:val="0"/>
        <w:widowControl/>
        <w:spacing w:before="0" w:after="120" w:line="259" w:lineRule="auto"/>
        <w:jc w:val="both"/>
      </w:pPr>
      <w:r>
        <w:rPr>
          <w:rFonts w:ascii="Cambria" w:hAnsi="Cambria" w:eastAsia="Cambria"/>
          <w:b w:val="0"/>
          <w:i w:val="0"/>
          <w:color w:val="000000"/>
          <w:sz w:val="22"/>
        </w:rPr>
        <w:t>The dotted ideal reference in Eq. (9) assumes an OOH–OH free energy separation of 2.46 eV. OH removal defines its left branch and OOH formation its right branch. The branches meet at OH adsorption free energy 1.23 eV and zero overpotential. This reference illustrates balanced binding; the catalyst points and fitted volcano curves use all four reaction steps. Thermodynamic rankings describe reaction free energies, while kinetic activity also depends on activation barriers.</w:t>
      </w:r>
    </w:p>
    <w:p>
      <w:pPr>
        <w:keepNext w:val="0"/>
        <w:tabs>
          <w:tab w:pos="9524" w:val="right"/>
        </w:tabs>
        <w:spacing w:before="0" w:after="120" w:line="259" w:lineRule="auto"/>
        <w:jc w:val="left"/>
      </w:pPr>
      <m:oMathPara>
        <m:oMath>
          <m:eqArr>
            <m:e>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α</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O</m:t>
                  </m:r>
                </m:sub>
              </m:sSub>
            </m:e>
            <m:e>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α</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OOH</m:t>
                  </m:r>
                </m:sub>
              </m:sSub>
            </m:e>
          </m:eqArr>
        </m:oMath>
      </m:oMathPara>
      <w:r>
        <w:rPr>
          <w:rFonts w:ascii="Cambria" w:hAnsi="Cambria" w:eastAsia="Cambria"/>
          <w:color w:val="000000"/>
          <w:sz w:val="20"/>
        </w:rPr>
        <w:tab/>
        <w:t>(8)</w:t>
      </w:r>
    </w:p>
    <w:p>
      <w:pPr>
        <w:keepNext w:val="0"/>
        <w:tabs>
          <w:tab w:pos="9524" w:val="right"/>
        </w:tabs>
        <w:spacing w:before="0" w:after="120" w:line="259" w:lineRule="auto"/>
        <w:jc w:val="left"/>
      </w:pPr>
      <m:oMathPara>
        <m:oMath>
          <m:eqArr>
            <m:e>
              <m:r>
                <m:rPr>
                  <m:sty m:val="p"/>
                </m:rPr>
                <w:rPr>
                  <w:rFonts w:ascii="Cambria Math" w:hAnsi="Cambria Math"/>
                </w:rPr>
                <m:t xml:space="preserve">Δ</m:t>
              </m:r>
              <m:sSup>
                <m:e>
                  <m:sSub>
                    <m:e>
                      <m:r>
                        <m:rPr>
                          <m:sty m:val="i"/>
                        </m:rPr>
                        <w:rPr>
                          <w:rFonts w:ascii="Cambria Math" w:hAnsi="Cambria Math"/>
                        </w:rPr>
                        <m:t xml:space="preserve">G</m:t>
                      </m:r>
                    </m:e>
                    <m:sub>
                      <m:r>
                        <m:rPr>
                          <m:sty m:val="p"/>
                        </m:rPr>
                        <w:rPr>
                          <w:rFonts w:ascii="Cambria Math" w:hAnsi="Cambria Math"/>
                        </w:rPr>
                        <m:t xml:space="preserve">OOH</m:t>
                      </m:r>
                    </m:sub>
                  </m:sSub>
                </m:e>
                <m:sup>
                  <m:r>
                    <m:rPr>
                      <m:sty m:val="p"/>
                    </m:rPr>
                    <w:rPr>
                      <w:rFonts w:ascii="Cambria Math" w:hAnsi="Cambria Math"/>
                    </w:rPr>
                    <m:t xml:space="preserve">ideal</m:t>
                  </m:r>
                </m:sup>
              </m:sSup>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2.46</m:t>
              </m:r>
              <m:r>
                <m:rPr>
                  <m:sty m:val="p"/>
                </m:rPr>
                <w:rPr>
                  <w:rFonts w:ascii="Cambria Math" w:hAnsi="Cambria Math"/>
                </w:rPr>
                <m:t xml:space="preserve"> </m:t>
              </m:r>
              <m:r>
                <m:rPr>
                  <m:sty m:val="p"/>
                </m:rPr>
                <w:rPr>
                  <w:rFonts w:ascii="Cambria Math" w:hAnsi="Cambria Math"/>
                </w:rPr>
                <m:t xml:space="preserve">eV</m:t>
              </m:r>
            </m:e>
            <m:e>
              <m:sSub>
                <m:e>
                  <m:r>
                    <m:rPr>
                      <m:sty m:val="p"/>
                    </m:rPr>
                    <w:rPr>
                      <w:rFonts w:ascii="Cambria Math" w:hAnsi="Cambria Math"/>
                    </w:rPr>
                    <m:t xml:space="preserve">η</m:t>
                  </m:r>
                </m:e>
                <m:sub>
                  <m:r>
                    <m:rPr>
                      <m:sty m:val="p"/>
                    </m:rPr>
                    <w:rPr>
                      <w:rFonts w:ascii="Cambria Math" w:hAnsi="Cambria Math"/>
                    </w:rPr>
                    <m:t xml:space="preserve">ideal</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1.23</m:t>
              </m:r>
              <m:r>
                <m:rPr>
                  <m:sty m:val="p"/>
                </m:rPr>
                <w:rPr>
                  <w:rFonts w:ascii="Cambria Math" w:hAnsi="Cambria Math"/>
                </w:rPr>
                <m:t xml:space="preserve"> </m:t>
              </m:r>
              <m:r>
                <m:rPr>
                  <m:sty m:val="p"/>
                </m:rPr>
                <w:rPr>
                  <w:rFonts w:ascii="Cambria Math" w:hAnsi="Cambria Math"/>
                </w:rPr>
                <m:t xml:space="preserv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2.46</m:t>
              </m:r>
              <m:r>
                <m:rPr>
                  <m:sty m:val="p"/>
                </m:rPr>
                <w:rPr>
                  <w:rFonts w:ascii="Cambria Math" w:hAnsi="Cambria Math"/>
                </w:rPr>
                <m:t xml:space="preserve"> </m:t>
              </m:r>
              <m:r>
                <m:rPr>
                  <m:sty m:val="p"/>
                </m:rPr>
                <w:rPr>
                  <w:rFonts w:ascii="Cambria Math" w:hAnsi="Cambria Math"/>
                </w:rPr>
                <m:t xml:space="preserve">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r>
                <m:rPr>
                  <m:sty m:val="p"/>
                </m:rPr>
                <w:rPr>
                  <w:rFonts w:ascii="Cambria Math" w:hAnsi="Cambria Math"/>
                </w:rPr>
                <m:t xml:space="preserve">)</m:t>
              </m:r>
            </m:e>
          </m:eqArr>
        </m:oMath>
      </m:oMathPara>
      <w:r>
        <w:rPr>
          <w:rFonts w:ascii="Cambria" w:hAnsi="Cambria" w:eastAsia="Cambria"/>
          <w:color w:val="000000"/>
          <w:sz w:val="20"/>
        </w:rPr>
        <w:tab/>
        <w:t>(9)</w:t>
      </w:r>
    </w:p>
    <w:p>
      <w:pPr>
        <w:pStyle w:val="Heading2"/>
        <w:keepNext/>
        <w:spacing w:before="120" w:after="120" w:line="240" w:lineRule="auto"/>
      </w:pPr>
      <w:r>
        <w:rPr>
          <w:rFonts w:ascii="Cambria" w:hAnsi="Cambria" w:eastAsia="Cambria"/>
          <w:color w:val="000000"/>
          <w:sz w:val="22"/>
        </w:rPr>
        <w:t>2.6. Regression analysis</w:t>
      </w:r>
    </w:p>
    <w:p>
      <w:pPr>
        <w:keepNext w:val="0"/>
        <w:spacing w:before="0" w:after="120" w:line="259" w:lineRule="auto"/>
      </w:pPr>
      <w:r>
        <w:rPr>
          <w:rFonts w:ascii="Cambria" w:hAnsi="Cambria" w:eastAsia="Cambria"/>
          <w:b w:val="0"/>
          <w:i w:val="0"/>
          <w:color w:val="000000"/>
          <w:sz w:val="22"/>
        </w:rPr>
        <w:t xml:space="preserve">We used fitted ridge regression models for OH, O, and OOH adsorption free energies using descriptors of the clean catalysts in </w:t>
      </w: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These describe Bader charge and electron population, local spin, and ligand charge distribution. The supplied models contain eight predictors for OH and O and six for OOH. We applied the saved training medians, means, standard deviations, and coefficients to all available catalyst and adsorption site records. We then joined the three predictions at each site, applied the energy filters, and evaluated the overpotential with Eqs. (5)–(7).</w:t>
      </w:r>
    </w:p>
    <w:p>
      <w:pPr>
        <w:keepNext w:val="0"/>
        <w:spacing w:before="0" w:after="120" w:line="259" w:lineRule="auto"/>
      </w:pP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xml:space="preserve"> includes every available site that passes these filters, including sites used for model fitting. It describes predicted trends across the library. We used the supplied validation predictions to check reproduction of the saved models; the all-site figure itself does not measure independent predictive accuracy.</w:t>
      </w:r>
    </w:p>
    <w:p>
      <w:pPr>
        <w:pStyle w:val="Heading2"/>
        <w:keepNext/>
        <w:spacing w:before="120" w:after="120" w:line="240" w:lineRule="auto"/>
        <w:jc w:val="left"/>
      </w:pPr>
      <w:r>
        <w:rPr>
          <w:rFonts w:ascii="Cambria" w:hAnsi="Cambria" w:eastAsia="Cambria"/>
          <w:color w:val="000000"/>
          <w:sz w:val="22"/>
        </w:rPr>
        <w:t>2.7. AI assisted manuscript generation</w:t>
      </w:r>
    </w:p>
    <w:p>
      <w:pPr>
        <w:keepNext w:val="0"/>
        <w:widowControl/>
        <w:spacing w:before="0" w:after="120" w:line="259" w:lineRule="auto"/>
        <w:jc w:val="both"/>
      </w:pPr>
      <w:r>
        <w:rPr>
          <w:rFonts w:ascii="Cambria" w:hAnsi="Cambria" w:eastAsia="Cambria"/>
          <w:b w:val="0"/>
          <w:i w:val="0"/>
          <w:color w:val="000000"/>
          <w:sz w:val="22"/>
        </w:rPr>
        <w:t xml:space="preserve">We used a large language model (LLM), accessed through OpenAI Codex, to generate the complete manuscript and develop analysis and figure code under our direction. Our motivation was to examine a practical response to the growing use of AI in scientific writing. Analysis of biomedical abstracts documents substantial uptake of LLM assisted writing </w:t>
      </w:r>
      <w:r>
        <w:rPr>
          <w:rFonts w:ascii="Cambria" w:hAnsi="Cambria" w:eastAsia="Cambria"/>
          <w:b w:val="0"/>
          <w:i w:val="0"/>
          <w:color w:val="000000"/>
          <w:sz w:val="22"/>
        </w:rPr>
        <w:t>[</w:t>
      </w:r>
      <w:hyperlink r:id="rId32">
        <w:r>
          <w:rPr>
            <w:rFonts w:ascii="Cambria" w:hAnsi="Cambria" w:eastAsia="Cambria"/>
            <w:b w:val="0"/>
            <w:i w:val="0"/>
            <w:color w:val="000000"/>
            <w:sz w:val="22"/>
          </w:rPr>
          <w:t>10.1126/sciadv.adt3813</w:t>
        </w:r>
      </w:hyperlink>
      <w:r>
        <w:rPr>
          <w:rFonts w:ascii="Cambria" w:hAnsi="Cambria" w:eastAsia="Cambria"/>
          <w:b w:val="0"/>
          <w:i w:val="0"/>
          <w:color w:val="000000"/>
          <w:sz w:val="22"/>
        </w:rPr>
        <w:t>]</w:t>
      </w:r>
      <w:r>
        <w:rPr>
          <w:rFonts w:ascii="Cambria" w:hAnsi="Cambria" w:eastAsia="Cambria"/>
          <w:b w:val="0"/>
          <w:i w:val="0"/>
          <w:color w:val="000000"/>
          <w:sz w:val="22"/>
        </w:rPr>
        <w:t>. That observation establishes the scale of adoption; it does not establish the reliability of any individual article. We address the risk that rapid generation can also multiply unsupported claims and invented figures by grounding this article in supplied calculations, explicit analysis choices, and identifiable sources.</w:t>
      </w:r>
    </w:p>
    <w:p>
      <w:pPr>
        <w:keepNext w:val="0"/>
        <w:spacing w:before="0" w:after="120" w:line="259" w:lineRule="auto"/>
      </w:pPr>
      <w:r>
        <w:rPr>
          <w:rFonts w:ascii="Cambria" w:hAnsi="Cambria" w:eastAsia="Cambria"/>
          <w:b w:val="0"/>
          <w:i w:val="0"/>
          <w:color w:val="000000"/>
          <w:sz w:val="22"/>
        </w:rPr>
        <w:t>We supplied the research question, databases, regression coefficients, literature, and writing instructions, then refined the analysis and text through successive corrections. We required figures to be generated by executable code from the molecular structures and numerical records. We used the LLM to organize the evidence, examine alternative analyses, and compose the narrative; we decided which questions to pursue and checked the resulting claims. The manuscript itself is part of this demonstration. Its coherence is useful only insofar as a reader can follow the account back to the calculations and assess our interpretation.</w:t>
      </w:r>
    </w:p>
    <w:p>
      <w:pPr>
        <w:pStyle w:val="Heading1"/>
        <w:keepNext/>
        <w:spacing w:before="120" w:after="120" w:line="240" w:lineRule="auto"/>
        <w:jc w:val="left"/>
      </w:pPr>
      <w:r>
        <w:rPr>
          <w:rFonts w:ascii="Cambria" w:hAnsi="Cambria" w:eastAsia="Cambria"/>
          <w:b/>
          <w:color w:val="000000"/>
          <w:sz w:val="24"/>
        </w:rPr>
        <w:t>3. Results and discussion</w:t>
      </w:r>
    </w:p>
    <w:p>
      <w:pPr>
        <w:pStyle w:val="Heading2"/>
        <w:keepNext/>
        <w:spacing w:before="120" w:after="120" w:line="240" w:lineRule="auto"/>
        <w:jc w:val="left"/>
      </w:pPr>
      <w:r>
        <w:rPr>
          <w:rFonts w:ascii="Cambria" w:hAnsi="Cambria" w:eastAsia="Cambria"/>
          <w:b/>
          <w:color w:val="000000"/>
          <w:sz w:val="22"/>
        </w:rPr>
        <w:t>3.1. Molecular design space and site identity</w:t>
      </w:r>
    </w:p>
    <w:p>
      <w:pPr>
        <w:keepNext w:val="0"/>
        <w:widowControl/>
        <w:spacing w:before="0" w:after="120" w:line="259" w:lineRule="auto"/>
        <w:jc w:val="both"/>
      </w:pP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xml:space="preserve"> gives us a common molecular structure in which to compare the effects of changing individual components. Both metal positions draw from the same six elements, while the bridge and diamine provide further variation and the dialdehyde remains fixed. We define an adsorption site as the metal atom within the organic ligands to which an ORR intermediate binds. Keeping that atom identifiable lets us distinguish the two possible pathways in the same molecule.</w:t>
      </w:r>
    </w:p>
    <w:p>
      <w:pPr>
        <w:keepNext/>
        <w:keepLines/>
        <w:spacing w:before="0" w:after="120" w:line="259" w:lineRule="auto"/>
        <w:jc w:val="center"/>
      </w:pPr>
      <w:r>
        <w:drawing>
          <wp:inline xmlns:a="http://schemas.openxmlformats.org/drawingml/2006/main" xmlns:pic="http://schemas.openxmlformats.org/drawingml/2006/picture">
            <wp:extent cx="3060000" cy="2726099"/>
            <wp:docPr id="1" name="Picture 1"/>
            <wp:cNvGraphicFramePr>
              <a:graphicFrameLocks noChangeAspect="1"/>
            </wp:cNvGraphicFramePr>
            <a:graphic>
              <a:graphicData uri="http://schemas.openxmlformats.org/drawingml/2006/picture">
                <pic:pic>
                  <pic:nvPicPr>
                    <pic:cNvPr id="0" name="Figure_1_modular_design_space.png"/>
                    <pic:cNvPicPr/>
                  </pic:nvPicPr>
                  <pic:blipFill>
                    <a:blip r:embed="rId10"/>
                    <a:stretch>
                      <a:fillRect/>
                    </a:stretch>
                  </pic:blipFill>
                  <pic:spPr>
                    <a:xfrm>
                      <a:off x="0" y="0"/>
                      <a:ext cx="3060000" cy="2726099"/>
                    </a:xfrm>
                    <a:prstGeom prst="rect"/>
                  </pic:spPr>
                </pic:pic>
              </a:graphicData>
            </a:graphic>
          </wp:inline>
        </w:drawing>
      </w:r>
    </w:p>
    <w:p>
      <w:pPr>
        <w:keepNext w:val="0"/>
        <w:keepLines/>
        <w:spacing w:after="120" w:before="0" w:line="240" w:lineRule="auto"/>
        <w:jc w:val="both"/>
      </w:pPr>
      <w:bookmarkStart w:id="301" w:name="Figure_1"/>
      <w:r>
        <w:rPr>
          <w:rFonts w:ascii="Calibri" w:hAnsi="Calibri" w:eastAsia="Calibri"/>
          <w:b/>
          <w:i w:val="0"/>
          <w:color w:val="000000"/>
          <w:sz w:val="20"/>
        </w:rPr>
        <w:t>Figure 1.</w:t>
      </w:r>
      <w:r>
        <w:rPr>
          <w:rFonts w:ascii="Calibri" w:hAnsi="Calibri" w:eastAsia="Calibri"/>
          <w:b w:val="0"/>
          <w:i w:val="0"/>
          <w:color w:val="000000"/>
          <w:sz w:val="20"/>
        </w:rPr>
        <w:t xml:space="preserve"> Modular molecular structure of the catalyst library. The metal list gives the elements available at the two metal positions; bridge atoms are N, O, or </w:t>
      </w:r>
      <w:r>
        <w:rPr>
          <w:rFonts w:ascii="Calibri" w:hAnsi="Calibri" w:eastAsia="Calibri"/>
          <w:b w:val="0"/>
          <w:i/>
          <w:color w:val="000000"/>
          <w:sz w:val="20"/>
        </w:rPr>
        <w:t>S</w:t>
      </w:r>
      <w:r>
        <w:rPr>
          <w:rFonts w:ascii="Calibri" w:hAnsi="Calibri" w:eastAsia="Calibri"/>
          <w:b w:val="0"/>
          <w:i w:val="0"/>
          <w:color w:val="000000"/>
          <w:sz w:val="20"/>
        </w:rPr>
        <w:t>; diamines are B1 or B2; and the dialdehyde is fixed as A2. The arrows identify the metal region, bridge, diamine, and lower aromatic ring assigned to A2.</w:t>
      </w:r>
      <w:bookmarkEnd w:id="301"/>
    </w:p>
    <w:p>
      <w:pPr>
        <w:keepNext w:val="0"/>
        <w:widowControl/>
        <w:spacing w:before="0" w:after="120" w:line="259" w:lineRule="auto"/>
        <w:jc w:val="both"/>
      </w:pPr>
      <w:r>
        <w:rPr>
          <w:rFonts w:ascii="Cambria" w:hAnsi="Cambria" w:eastAsia="Cambria"/>
          <w:b w:val="0"/>
          <w:i w:val="0"/>
          <w:color w:val="000000"/>
          <w:sz w:val="22"/>
        </w:rPr>
        <w:t xml:space="preserve">The clean database contains 88 catalyst structures. Exact matching of the raw adsorption databases produced 123 complete pathways across 82 catalysts. The energy filters retained 118 pathways across 79 catalysts for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w:t>
      </w: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xml:space="preserve"> extends the analysis to sites with available clean catalyst descriptors.</w:t>
      </w:r>
    </w:p>
    <w:p>
      <w:pPr>
        <w:pStyle w:val="Heading2"/>
        <w:keepNext/>
        <w:spacing w:before="120" w:after="120" w:line="240" w:lineRule="auto"/>
        <w:jc w:val="left"/>
      </w:pPr>
      <w:r>
        <w:rPr>
          <w:rFonts w:ascii="Cambria" w:hAnsi="Cambria" w:eastAsia="Cambria"/>
          <w:b/>
          <w:color w:val="000000"/>
          <w:sz w:val="22"/>
        </w:rPr>
        <w:t>3.2. Adsorption scaling and calculated ORR thermodynamics</w:t>
      </w:r>
    </w:p>
    <w:p>
      <w:pPr>
        <w:keepNext w:val="0"/>
        <w:widowControl/>
        <w:spacing w:before="0" w:after="120" w:line="259" w:lineRule="auto"/>
        <w:jc w:val="both"/>
      </w:pPr>
      <w:hyperlink w:anchor="Figure_2">
        <w:r>
          <w:rPr>
            <w:rFonts w:ascii="Cambria" w:hAnsi="Cambria" w:eastAsia="Cambria"/>
            <w:b w:val="0"/>
            <w:i w:val="0"/>
            <w:color w:val="000000"/>
            <w:sz w:val="22"/>
          </w:rPr>
          <w:t>Figure 2a</w:t>
        </w:r>
      </w:hyperlink>
      <w:r>
        <w:rPr>
          <w:rFonts w:ascii="Cambria" w:hAnsi="Cambria" w:eastAsia="Cambria"/>
          <w:b w:val="0"/>
          <w:i w:val="0"/>
          <w:color w:val="000000"/>
          <w:sz w:val="22"/>
        </w:rPr>
        <w:t xml:space="preserve"> compares O and OOH adsorption free energies with OH adsorption free energy. The OOH–OH relation has a slope of 0.69 and an intercept of 2.98 eV; the O–OH relation has a slope of 1.66 and an intercept of 1.20 eV. The adsorption site families occupy different parts of these trends, with scatter around the global relations. Related molecular catalysts can alter OOH binding geometry and adsorption scaling through their paired metal centers </w:t>
      </w:r>
      <w:r>
        <w:rPr>
          <w:rFonts w:ascii="Cambria" w:hAnsi="Cambria" w:eastAsia="Cambria"/>
          <w:b w:val="0"/>
          <w:i w:val="0"/>
          <w:color w:val="000000"/>
          <w:sz w:val="22"/>
        </w:rPr>
        <w:t>[</w:t>
      </w:r>
      <w:hyperlink r:id="rId17">
        <w:r>
          <w:rPr>
            <w:rFonts w:ascii="Cambria" w:hAnsi="Cambria" w:eastAsia="Cambria"/>
            <w:b w:val="0"/>
            <w:i w:val="0"/>
            <w:color w:val="000000"/>
            <w:sz w:val="22"/>
          </w:rPr>
          <w:t>10.1021/jacs.4c12705</w:t>
        </w:r>
      </w:hyperlink>
      <w:r>
        <w:rPr>
          <w:rFonts w:ascii="Cambria" w:hAnsi="Cambria" w:eastAsia="Cambria"/>
          <w:b w:val="0"/>
          <w:i w:val="0"/>
          <w:color w:val="000000"/>
          <w:sz w:val="22"/>
        </w:rPr>
        <w:t xml:space="preserve">; </w:t>
      </w:r>
      <w:hyperlink r:id="rId14">
        <w:r>
          <w:rPr>
            <w:rFonts w:ascii="Cambria" w:hAnsi="Cambria" w:eastAsia="Cambria"/>
            <w:b w:val="0"/>
            <w:i w:val="0"/>
            <w:color w:val="000000"/>
            <w:sz w:val="22"/>
          </w:rPr>
          <w:t>10.1002/adma.202403549</w:t>
        </w:r>
      </w:hyperlink>
      <w:r>
        <w:rPr>
          <w:rFonts w:ascii="Cambria" w:hAnsi="Cambria" w:eastAsia="Cambria"/>
          <w:b w:val="0"/>
          <w:i w:val="0"/>
          <w:color w:val="000000"/>
          <w:sz w:val="22"/>
        </w:rPr>
        <w:t>]</w:t>
      </w:r>
      <w:r>
        <w:rPr>
          <w:rFonts w:ascii="Cambria" w:hAnsi="Cambria" w:eastAsia="Cambria"/>
          <w:b w:val="0"/>
          <w:i w:val="0"/>
          <w:color w:val="000000"/>
          <w:sz w:val="22"/>
        </w:rPr>
        <w:t>. The present trends provide a basis for examining such structural effects within a common molecular structure.</w:t>
      </w:r>
    </w:p>
    <w:p>
      <w:pPr>
        <w:keepNext/>
        <w:keepLines/>
        <w:spacing w:before="0" w:after="120" w:line="259" w:lineRule="auto"/>
        <w:jc w:val="center"/>
      </w:pPr>
      <w:r>
        <w:drawing>
          <wp:inline xmlns:a="http://schemas.openxmlformats.org/drawingml/2006/main" xmlns:pic="http://schemas.openxmlformats.org/drawingml/2006/picture">
            <wp:extent cx="6120000" cy="3059238"/>
            <wp:docPr id="2" name="Picture 2"/>
            <wp:cNvGraphicFramePr>
              <a:graphicFrameLocks noChangeAspect="1"/>
            </wp:cNvGraphicFramePr>
            <a:graphic>
              <a:graphicData uri="http://schemas.openxmlformats.org/drawingml/2006/picture">
                <pic:pic>
                  <pic:nvPicPr>
                    <pic:cNvPr id="0" name="Figure_2_scaling_relations_v7.png"/>
                    <pic:cNvPicPr/>
                  </pic:nvPicPr>
                  <pic:blipFill>
                    <a:blip r:embed="rId11"/>
                    <a:stretch>
                      <a:fillRect/>
                    </a:stretch>
                  </pic:blipFill>
                  <pic:spPr>
                    <a:xfrm>
                      <a:off x="0" y="0"/>
                      <a:ext cx="6120000" cy="3059238"/>
                    </a:xfrm>
                    <a:prstGeom prst="rect"/>
                  </pic:spPr>
                </pic:pic>
              </a:graphicData>
            </a:graphic>
          </wp:inline>
        </w:drawing>
      </w:r>
    </w:p>
    <w:p>
      <w:pPr>
        <w:keepNext w:val="0"/>
        <w:keepLines/>
        <w:spacing w:after="120" w:before="0" w:line="240" w:lineRule="auto"/>
        <w:jc w:val="both"/>
      </w:pPr>
      <w:bookmarkStart w:id="302" w:name="Figure_2"/>
      <w:r>
        <w:rPr>
          <w:rFonts w:ascii="Calibri" w:hAnsi="Calibri" w:eastAsia="Calibri"/>
          <w:b/>
          <w:i w:val="0"/>
          <w:color w:val="000000"/>
          <w:sz w:val="20"/>
        </w:rPr>
        <w:t>Figure 2.</w:t>
      </w:r>
      <w:r>
        <w:rPr>
          <w:rFonts w:ascii="Calibri" w:hAnsi="Calibri" w:eastAsia="Calibri"/>
          <w:b w:val="0"/>
          <w:i w:val="0"/>
          <w:color w:val="000000"/>
          <w:sz w:val="20"/>
        </w:rPr>
        <w:t xml:space="preserve"> Adsorption scaling and oxygen reduction thermodynamics from DFT. </w:t>
      </w:r>
      <w:hyperlink w:anchor="Figure_1">
        <w:r>
          <w:rPr>
            <w:rFonts w:ascii="Calibri" w:hAnsi="Calibri" w:eastAsia="Calibri"/>
            <w:b w:val="0"/>
            <w:i w:val="0"/>
            <w:color w:val="000000"/>
            <w:sz w:val="20"/>
          </w:rPr>
          <w:t>Figure 1</w:t>
        </w:r>
      </w:hyperlink>
      <w:r>
        <w:rPr>
          <w:rFonts w:ascii="Calibri" w:hAnsi="Calibri" w:eastAsia="Calibri"/>
          <w:b w:val="0"/>
          <w:i w:val="0"/>
          <w:color w:val="000000"/>
          <w:sz w:val="20"/>
        </w:rPr>
        <w:t xml:space="preserve"> defines the structural components. (a) O and OOH adsorption free energies versus OH adsorption free energy. Color and marker shape identify the metal at the adsorption site; the centered vertical stroke denotes O. Solid and dashed lines are OOH–OH and O–OH scaling fits. (b) CHE overpotential for the same catalyst and adsorption site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bookmarkEnd w:id="302"/>
    </w:p>
    <w:p>
      <w:pPr>
        <w:keepNext w:val="0"/>
        <w:widowControl/>
        <w:spacing w:before="0" w:after="120" w:line="259" w:lineRule="auto"/>
        <w:jc w:val="both"/>
      </w:pPr>
      <w:hyperlink w:anchor="Figure_2">
        <w:r>
          <w:rPr>
            <w:rFonts w:ascii="Cambria" w:hAnsi="Cambria" w:eastAsia="Cambria"/>
            <w:b w:val="0"/>
            <w:i w:val="0"/>
            <w:color w:val="000000"/>
            <w:sz w:val="22"/>
          </w:rPr>
          <w:t>Figure 2b</w:t>
        </w:r>
      </w:hyperlink>
      <w:r>
        <w:rPr>
          <w:rFonts w:ascii="Cambria" w:hAnsi="Cambria" w:eastAsia="Cambria"/>
          <w:b w:val="0"/>
          <w:i w:val="0"/>
          <w:color w:val="000000"/>
          <w:sz w:val="22"/>
        </w:rPr>
        <w:t xml:space="preserve"> shows the calculated conventional computational hydrogen electrode overpotential, with the vertical axis reversed. The lowest value in the filtered working dataset is 0.34 V at the Mn adsorption site of a Cr–Mn catalyst with an </w:t>
      </w:r>
      <w:r>
        <w:rPr>
          <w:rFonts w:ascii="Cambria" w:hAnsi="Cambria" w:eastAsia="Cambria"/>
          <w:b w:val="0"/>
          <w:i/>
          <w:color w:val="000000"/>
          <w:sz w:val="22"/>
        </w:rPr>
        <w:t>S</w:t>
      </w:r>
      <w:r>
        <w:rPr>
          <w:rFonts w:ascii="Cambria" w:hAnsi="Cambria" w:eastAsia="Cambria"/>
          <w:b w:val="0"/>
          <w:i w:val="0"/>
          <w:color w:val="000000"/>
          <w:sz w:val="22"/>
        </w:rPr>
        <w:t>–</w:t>
      </w:r>
      <w:r>
        <w:rPr>
          <w:rFonts w:ascii="Cambria" w:hAnsi="Cambria" w:eastAsia="Cambria"/>
          <w:b w:val="0"/>
          <w:i/>
          <w:color w:val="000000"/>
          <w:sz w:val="22"/>
        </w:rPr>
        <w:t>S</w:t>
      </w:r>
      <w:r>
        <w:rPr>
          <w:rFonts w:ascii="Cambria" w:hAnsi="Cambria" w:eastAsia="Cambria"/>
          <w:b w:val="0"/>
          <w:i w:val="0"/>
          <w:color w:val="000000"/>
          <w:sz w:val="22"/>
        </w:rPr>
        <w:t xml:space="preserve"> bridge and B1 diamine. Its stored adsorption quantities are 0.89 eV for OH, 1.99 eV for O, and 3.41 eV for OOH; the OH to water step determines the limiting potential. This thermodynamic ranking applies to the present structures, corrections, matching rules, and filters. The curve propagates the global scaling fits through the four step reaction model, as described in the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caption.</w:t>
      </w:r>
    </w:p>
    <w:p>
      <w:pPr>
        <w:pStyle w:val="Heading2"/>
        <w:keepNext/>
        <w:spacing w:before="120" w:after="120" w:line="240" w:lineRule="auto"/>
        <w:jc w:val="left"/>
      </w:pPr>
      <w:r>
        <w:rPr>
          <w:rFonts w:ascii="Cambria" w:hAnsi="Cambria" w:eastAsia="Cambria"/>
          <w:color w:val="000000"/>
          <w:sz w:val="22"/>
        </w:rPr>
        <w:t>3.3. Scaling and activity from regression predictions</w:t>
      </w:r>
    </w:p>
    <w:p>
      <w:pPr>
        <w:keepNext w:val="0"/>
        <w:widowControl/>
        <w:spacing w:before="0" w:after="120" w:line="259" w:lineRule="auto"/>
        <w:jc w:val="both"/>
      </w:pPr>
      <w:r>
        <w:rPr>
          <w:rFonts w:ascii="Cambria" w:hAnsi="Cambria" w:eastAsia="Cambria"/>
          <w:b w:val="0"/>
          <w:i w:val="0"/>
          <w:color w:val="000000"/>
          <w:sz w:val="22"/>
        </w:rPr>
        <w:t xml:space="preserve">We next ask how much of this pattern the regression recovers. </w:t>
      </w: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xml:space="preserve"> applies the same analysis to predicted adsorption free energies. Complete predictions were available for 148 sites across 88 catalysts, and the filters retained 144 sites across 87 catalysts. The predicted OOH–OH slope and intercept are 0.67 and 2.98 eV, while those for O–OH are 1.73 and 1.14 eV. Their proximity to the DFT relations in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shows that the descriptors retain the broad variation across the molecular library. The narrower spread of the predictions also prompts a closer look at the individual rankings.</w:t>
      </w:r>
    </w:p>
    <w:p>
      <w:pPr>
        <w:keepNext w:val="0"/>
        <w:widowControl/>
        <w:spacing w:before="0" w:after="120" w:line="259" w:lineRule="auto"/>
        <w:jc w:val="both"/>
      </w:pPr>
      <w:r>
        <w:rPr>
          <w:rFonts w:ascii="Cambria" w:hAnsi="Cambria" w:eastAsia="Cambria"/>
          <w:b w:val="0"/>
          <w:i w:val="0"/>
          <w:color w:val="000000"/>
          <w:sz w:val="22"/>
        </w:rPr>
        <w:t xml:space="preserve">Near the volcano maximum, the distinction becomes consequential. The lowest predicted overpotential is 0.30 V at the Fe site of an Fe–Mn catalyst with </w:t>
      </w:r>
      <w:r>
        <w:rPr>
          <w:rFonts w:ascii="Cambria" w:hAnsi="Cambria" w:eastAsia="Cambria"/>
          <w:b w:val="0"/>
          <w:i/>
          <w:color w:val="000000"/>
          <w:sz w:val="22"/>
        </w:rPr>
        <w:t>S</w:t>
      </w:r>
      <w:r>
        <w:rPr>
          <w:rFonts w:ascii="Cambria" w:hAnsi="Cambria" w:eastAsia="Cambria"/>
          <w:b w:val="0"/>
          <w:i w:val="0"/>
          <w:color w:val="000000"/>
          <w:sz w:val="22"/>
        </w:rPr>
        <w:t xml:space="preserve"> bridge atoms and B1 diamine. The DFT analysis in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instead prioritizes a Mn site. We can use this disagreement to select a useful next calculation: inspect the binding structures and descriptors of these candidates, then test whether the predicted order survives. </w:t>
      </w: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xml:space="preserve"> therefore helps us direct further research while displaying the broad trends that the regression has learned. Its all-site predictions include fitted records, so the figure describes the represented library rather than establishing transfer to new chemical families.</w:t>
      </w:r>
    </w:p>
    <w:p>
      <w:pPr>
        <w:keepNext/>
        <w:keepLines/>
        <w:spacing w:before="0" w:after="120" w:line="259" w:lineRule="auto"/>
        <w:jc w:val="center"/>
      </w:pPr>
      <w:r>
        <w:drawing>
          <wp:inline xmlns:a="http://schemas.openxmlformats.org/drawingml/2006/main" xmlns:pic="http://schemas.openxmlformats.org/drawingml/2006/picture">
            <wp:extent cx="6120000" cy="3059238"/>
            <wp:docPr id="3" name="Picture 3"/>
            <wp:cNvGraphicFramePr>
              <a:graphicFrameLocks noChangeAspect="1"/>
            </wp:cNvGraphicFramePr>
            <a:graphic>
              <a:graphicData uri="http://schemas.openxmlformats.org/drawingml/2006/picture">
                <pic:pic>
                  <pic:nvPicPr>
                    <pic:cNvPr id="0" name="Figure_3_OH_parity_units.png"/>
                    <pic:cNvPicPr/>
                  </pic:nvPicPr>
                  <pic:blipFill>
                    <a:blip r:embed="rId12"/>
                    <a:stretch>
                      <a:fillRect/>
                    </a:stretch>
                  </pic:blipFill>
                  <pic:spPr>
                    <a:xfrm>
                      <a:off x="0" y="0"/>
                      <a:ext cx="6120000" cy="3059238"/>
                    </a:xfrm>
                    <a:prstGeom prst="rect"/>
                  </pic:spPr>
                </pic:pic>
              </a:graphicData>
            </a:graphic>
          </wp:inline>
        </w:drawing>
      </w:r>
    </w:p>
    <w:p>
      <w:pPr>
        <w:keepNext w:val="0"/>
        <w:keepLines/>
        <w:spacing w:after="120" w:before="0" w:line="240" w:lineRule="auto"/>
        <w:jc w:val="both"/>
      </w:pPr>
      <w:bookmarkStart w:id="303" w:name="Figure_3"/>
      <w:r>
        <w:rPr>
          <w:rFonts w:ascii="Calibri" w:hAnsi="Calibri" w:eastAsia="Calibri"/>
          <w:b/>
          <w:i w:val="0"/>
          <w:color w:val="000000"/>
          <w:sz w:val="20"/>
        </w:rPr>
        <w:t>Figure 3.</w:t>
      </w:r>
      <w:r>
        <w:rPr>
          <w:rFonts w:ascii="Calibri" w:hAnsi="Calibri" w:eastAsia="Calibri"/>
          <w:b w:val="0"/>
          <w:i w:val="0"/>
          <w:color w:val="000000"/>
          <w:sz w:val="20"/>
        </w:rPr>
        <w:t xml:space="preserve"> Adsorption scaling and oxygen reduction thermodynamics from regression predictions. (a) Predicted O and OOH adsorption free energies versus predicted OH adsorption free energy. (b) Overpotentials derived from the three predictions for each catalyst and adsorption site combination. All available sites passing the energy filters are shown. Colors, markers, and the ideal reference follow </w:t>
      </w:r>
      <w:hyperlink w:anchor="Figure_2">
        <w:r>
          <w:rPr>
            <w:rFonts w:ascii="Calibri" w:hAnsi="Calibri" w:eastAsia="Calibri"/>
            <w:b w:val="0"/>
            <w:i w:val="0"/>
            <w:color w:val="000000"/>
            <w:sz w:val="20"/>
          </w:rPr>
          <w:t>Figure 2</w:t>
        </w:r>
      </w:hyperlink>
      <w:r>
        <w:rPr>
          <w:rFonts w:ascii="Calibri" w:hAnsi="Calibri" w:eastAsia="Calibri"/>
          <w:b w:val="0"/>
          <w:i w:val="0"/>
          <w:color w:val="000000"/>
          <w:sz w:val="20"/>
        </w:rPr>
        <w:t>. The solid and dashed lines in (a) are the OOH–OH and O–OH fits; the solid curve in (b) follows those fits through the four reaction steps. The figure includes sites used for model fitting.</w:t>
      </w:r>
      <w:bookmarkEnd w:id="303"/>
    </w:p>
    <w:p>
      <w:pPr>
        <w:pStyle w:val="Heading2"/>
        <w:keepNext/>
        <w:spacing w:before="120" w:after="120" w:line="240" w:lineRule="auto"/>
        <w:jc w:val="left"/>
      </w:pPr>
      <w:r>
        <w:rPr>
          <w:rFonts w:ascii="Cambria" w:hAnsi="Cambria" w:eastAsia="Cambria"/>
          <w:color w:val="000000"/>
          <w:sz w:val="22"/>
        </w:rPr>
        <w:t>3.4. From reusable data to the next research question</w:t>
      </w:r>
    </w:p>
    <w:p>
      <w:pPr>
        <w:keepNext w:val="0"/>
        <w:widowControl/>
        <w:spacing w:before="0" w:after="120" w:line="259" w:lineRule="auto"/>
        <w:jc w:val="both"/>
      </w:pPr>
      <w:r>
        <w:rPr>
          <w:rFonts w:ascii="Cambria" w:hAnsi="Cambria" w:eastAsia="Cambria"/>
          <w:b w:val="0"/>
          <w:i w:val="0"/>
          <w:color w:val="000000"/>
          <w:sz w:val="22"/>
        </w:rPr>
        <w:t xml:space="preserve">The comparison between Figures 2 and 3 raises a further question: how much does candidate selection depend on the activity measure we choose? We can examine it with the same site matched records. The Calle-Vallejo electrochemical step symmetry index and the Exner free energy span emphasize different features of the reaction energetics </w:t>
      </w:r>
      <w:r>
        <w:rPr>
          <w:rFonts w:ascii="Cambria" w:hAnsi="Cambria" w:eastAsia="Cambria"/>
          <w:b w:val="0"/>
          <w:i w:val="0"/>
          <w:color w:val="000000"/>
          <w:sz w:val="22"/>
        </w:rPr>
        <w:t>[</w:t>
      </w:r>
      <w:hyperlink r:id="rId28">
        <w:r>
          <w:rPr>
            <w:rFonts w:ascii="Cambria" w:hAnsi="Cambria" w:eastAsia="Cambria"/>
            <w:b w:val="0"/>
            <w:i w:val="0"/>
            <w:color w:val="000000"/>
            <w:sz w:val="22"/>
          </w:rPr>
          <w:t>10.1016/j.coelec.2018.03.025</w:t>
        </w:r>
      </w:hyperlink>
      <w:r>
        <w:rPr>
          <w:rFonts w:ascii="Cambria" w:hAnsi="Cambria" w:eastAsia="Cambria"/>
          <w:b w:val="0"/>
          <w:i w:val="0"/>
          <w:color w:val="000000"/>
          <w:sz w:val="22"/>
        </w:rPr>
        <w:t xml:space="preserve">; </w:t>
      </w:r>
      <w:hyperlink r:id="rId29">
        <w:r>
          <w:rPr>
            <w:rFonts w:ascii="Cambria" w:hAnsi="Cambria" w:eastAsia="Cambria"/>
            <w:b w:val="0"/>
            <w:i w:val="0"/>
            <w:color w:val="000000"/>
            <w:sz w:val="22"/>
          </w:rPr>
          <w:t>10.1021/acscatal.2c03997</w:t>
        </w:r>
      </w:hyperlink>
      <w:r>
        <w:rPr>
          <w:rFonts w:ascii="Cambria" w:hAnsi="Cambria" w:eastAsia="Cambria"/>
          <w:b w:val="0"/>
          <w:i w:val="0"/>
          <w:color w:val="000000"/>
          <w:sz w:val="22"/>
        </w:rPr>
        <w:t>]</w:t>
      </w:r>
      <w:r>
        <w:rPr>
          <w:rFonts w:ascii="Cambria" w:hAnsi="Cambria" w:eastAsia="Cambria"/>
          <w:b w:val="0"/>
          <w:i w:val="0"/>
          <w:color w:val="000000"/>
          <w:sz w:val="22"/>
        </w:rPr>
        <w:t>. Once the energies are stored with their molecular and site identities, we can ask an LLM to implement either analysis, inspect the code, and compare the resulting rankings. We reserve new DFT calculations for questions that change the geometry, charge state, or adsorption structure.</w:t>
      </w:r>
    </w:p>
    <w:p>
      <w:pPr>
        <w:keepNext w:val="0"/>
        <w:widowControl/>
        <w:spacing w:before="0" w:after="120" w:line="259" w:lineRule="auto"/>
        <w:jc w:val="both"/>
      </w:pPr>
      <w:r>
        <w:rPr>
          <w:rFonts w:ascii="Cambria" w:hAnsi="Cambria" w:eastAsia="Cambria"/>
          <w:b w:val="0"/>
          <w:i w:val="0"/>
          <w:color w:val="000000"/>
          <w:sz w:val="22"/>
        </w:rPr>
        <w:t xml:space="preserve">We will release the structures and results as an ASE database and machine readable JSON, together with code that reconstructs the analysis. These formats support findable, accessible, interoperable, and reusable data practices </w:t>
      </w:r>
      <w:r>
        <w:rPr>
          <w:rFonts w:ascii="Cambria" w:hAnsi="Cambria" w:eastAsia="Cambria"/>
          <w:b w:val="0"/>
          <w:i w:val="0"/>
          <w:color w:val="000000"/>
          <w:sz w:val="22"/>
        </w:rPr>
        <w:t>[</w:t>
      </w:r>
      <w:hyperlink r:id="rId30">
        <w:r>
          <w:rPr>
            <w:rFonts w:ascii="Cambria" w:hAnsi="Cambria" w:eastAsia="Cambria"/>
            <w:b w:val="0"/>
            <w:i w:val="0"/>
            <w:color w:val="000000"/>
            <w:sz w:val="22"/>
          </w:rPr>
          <w:t>10.1038/sdata.2016.18</w:t>
        </w:r>
      </w:hyperlink>
      <w:r>
        <w:rPr>
          <w:rFonts w:ascii="Cambria" w:hAnsi="Cambria" w:eastAsia="Cambria"/>
          <w:b w:val="0"/>
          <w:i w:val="0"/>
          <w:color w:val="000000"/>
          <w:sz w:val="22"/>
        </w:rPr>
        <w:t>]</w:t>
      </w:r>
      <w:r>
        <w:rPr>
          <w:rFonts w:ascii="Cambria" w:hAnsi="Cambria" w:eastAsia="Cambria"/>
          <w:b w:val="0"/>
          <w:i w:val="0"/>
          <w:color w:val="000000"/>
          <w:sz w:val="22"/>
        </w:rPr>
        <w:t>. They also make our interpretation open to revision: another researcher can choose a different descriptor, regenerate the figures, and identify where the conclusions change. The value of the record grows when it can answer a question that we did not originally ask.</w:t>
      </w:r>
    </w:p>
    <w:p>
      <w:pPr>
        <w:keepNext w:val="0"/>
        <w:widowControl/>
        <w:spacing w:before="0" w:after="120" w:line="259" w:lineRule="auto"/>
        <w:jc w:val="both"/>
      </w:pPr>
      <w:r>
        <w:rPr>
          <w:rFonts w:ascii="Cambria" w:hAnsi="Cambria" w:eastAsia="Cambria"/>
          <w:b w:val="0"/>
          <w:i w:val="0"/>
          <w:color w:val="000000"/>
          <w:sz w:val="22"/>
        </w:rPr>
        <w:t>We developed the instructions over about two weeks and estimate that executing the resulting instructions to generate an integrated draft takes less than an hour. In our experience, composing comparable articles manually has taken months. This account describes our project rather than a controlled timing study. The concrete result is that we can revise an analysis and its written explanation together, while directing our attention to the assumptions and decisions that determine what the result means.</w:t>
      </w:r>
    </w:p>
    <w:p>
      <w:pPr>
        <w:pStyle w:val="Heading1"/>
        <w:keepNext/>
        <w:spacing w:before="120" w:after="120" w:line="240" w:lineRule="auto"/>
        <w:jc w:val="left"/>
      </w:pPr>
      <w:r>
        <w:rPr>
          <w:rFonts w:ascii="Cambria" w:hAnsi="Cambria" w:eastAsia="Cambria"/>
          <w:b/>
          <w:color w:val="000000"/>
          <w:sz w:val="24"/>
        </w:rPr>
        <w:t>4. Conclusions</w:t>
      </w:r>
    </w:p>
    <w:p>
      <w:pPr>
        <w:keepNext w:val="0"/>
        <w:widowControl/>
        <w:spacing w:before="0" w:after="120" w:line="259" w:lineRule="auto"/>
        <w:jc w:val="both"/>
      </w:pPr>
      <w:r>
        <w:rPr>
          <w:rFonts w:ascii="Cambria" w:hAnsi="Cambria" w:eastAsia="Cambria"/>
          <w:b w:val="0"/>
          <w:i w:val="0"/>
          <w:color w:val="000000"/>
          <w:sz w:val="22"/>
        </w:rPr>
        <w:t>Accelerating catalyst discovery with artificial intelligence includes accelerating how we analyze and report the research. We have used molecular catalyst calculations to make that possibility concrete: the same structured records support adsorption scaling, thermodynamic rankings, regression predictions, and alternative activity descriptors. A guided language model can help execute these analyses and explain their relationship. Where the rankings disagree, we gain a question for further research rather than a reason to force the results into one story.</w:t>
      </w:r>
    </w:p>
    <w:p>
      <w:pPr>
        <w:keepNext w:val="0"/>
        <w:widowControl/>
        <w:spacing w:before="0" w:after="120" w:line="259" w:lineRule="auto"/>
        <w:jc w:val="both"/>
      </w:pPr>
      <w:r>
        <w:rPr>
          <w:rFonts w:ascii="Cambria" w:hAnsi="Cambria" w:eastAsia="Cambria"/>
          <w:b w:val="0"/>
          <w:i w:val="0"/>
          <w:color w:val="000000"/>
          <w:sz w:val="22"/>
        </w:rPr>
        <w:t>We began with the demand for a convincing scientific story and delegated its composition to a language model. The resulting account still depends on the decisions we made about the molecules, calculations, evidence, and interpretation. We therefore propose a different division of effort: researchers should concentrate on planning and implementing the research, directing the analysis, and judging its conclusions, while guided models take on much of the narrative drafting. Clear communication remains essential. Its automation gives us a reason to invest more attention in the science that makes the story worth telling.</w:t>
      </w:r>
    </w:p>
    <w:p>
      <w:pPr>
        <w:pStyle w:val="Heading1"/>
        <w:keepNext/>
        <w:spacing w:before="120" w:after="120" w:line="240" w:lineRule="auto"/>
        <w:jc w:val="left"/>
      </w:pPr>
      <w:r>
        <w:rPr>
          <w:rFonts w:ascii="Cambria" w:hAnsi="Cambria" w:eastAsia="Cambria"/>
          <w:b/>
          <w:color w:val="000000"/>
          <w:sz w:val="24"/>
        </w:rPr>
        <w:t>CRediT authorship contribution statement</w:t>
      </w:r>
    </w:p>
    <w:p>
      <w:pPr>
        <w:keepNext w:val="0"/>
        <w:widowControl/>
        <w:spacing w:before="0" w:after="120" w:line="259" w:lineRule="auto"/>
        <w:jc w:val="both"/>
      </w:pPr>
      <w:r>
        <w:rPr>
          <w:rFonts w:ascii="Cambria" w:hAnsi="Cambria" w:eastAsia="Cambria"/>
          <w:b w:val="0"/>
          <w:i w:val="0"/>
          <w:color w:val="000000"/>
          <w:sz w:val="22"/>
        </w:rP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Validation of the manuscript text: all authors. All authors approved the final text.</w:t>
      </w:r>
    </w:p>
    <w:p>
      <w:pPr>
        <w:pStyle w:val="Heading1"/>
        <w:keepNext/>
        <w:spacing w:before="120" w:after="120" w:line="240" w:lineRule="auto"/>
        <w:jc w:val="left"/>
      </w:pPr>
      <w:r>
        <w:rPr>
          <w:rFonts w:ascii="Cambria" w:hAnsi="Cambria" w:eastAsia="Cambria"/>
          <w:b/>
          <w:color w:val="000000"/>
          <w:sz w:val="24"/>
        </w:rPr>
        <w:t>Declaration of competing interest</w:t>
      </w:r>
    </w:p>
    <w:p>
      <w:pPr>
        <w:keepNext w:val="0"/>
        <w:widowControl/>
        <w:spacing w:before="0" w:after="120" w:line="259" w:lineRule="auto"/>
        <w:jc w:val="both"/>
      </w:pPr>
      <w:r>
        <w:rPr>
          <w:rFonts w:ascii="Cambria" w:hAnsi="Cambria" w:eastAsia="Cambria"/>
          <w:b w:val="0"/>
          <w:i w:val="0"/>
          <w:color w:val="000000"/>
          <w:sz w:val="22"/>
        </w:rPr>
        <w:t>The authors declare no competing interests.</w:t>
      </w:r>
    </w:p>
    <w:p>
      <w:pPr>
        <w:pStyle w:val="Heading1"/>
        <w:keepNext/>
        <w:spacing w:before="120" w:after="120" w:line="240" w:lineRule="auto"/>
        <w:jc w:val="left"/>
      </w:pPr>
      <w:r>
        <w:rPr>
          <w:rFonts w:ascii="Cambria" w:hAnsi="Cambria" w:eastAsia="Cambria"/>
          <w:b/>
          <w:color w:val="000000"/>
          <w:sz w:val="24"/>
        </w:rPr>
        <w:t>Data availability</w:t>
      </w:r>
    </w:p>
    <w:p>
      <w:pPr>
        <w:keepNext w:val="0"/>
        <w:widowControl/>
        <w:spacing w:before="0" w:after="120" w:line="259" w:lineRule="auto"/>
        <w:jc w:val="both"/>
      </w:pPr>
      <w:r>
        <w:rPr>
          <w:rFonts w:ascii="Cambria" w:hAnsi="Cambria" w:eastAsia="Cambria"/>
          <w:b w:val="0"/>
          <w:i w:val="0"/>
          <w:color w:val="000000"/>
          <w:sz w:val="22"/>
        </w:rPr>
        <w:t xml:space="preserve">The parent molecular dual-atom site catalyst dataset is available from Zenodo </w:t>
      </w:r>
      <w:r>
        <w:rPr>
          <w:rFonts w:ascii="Cambria" w:hAnsi="Cambria" w:eastAsia="Cambria"/>
          <w:b w:val="0"/>
          <w:i w:val="0"/>
          <w:color w:val="000000"/>
          <w:sz w:val="22"/>
        </w:rPr>
        <w:t>[</w:t>
      </w:r>
      <w:hyperlink r:id="rId31">
        <w:r>
          <w:rPr>
            <w:rFonts w:ascii="Cambria" w:hAnsi="Cambria" w:eastAsia="Cambria"/>
            <w:b w:val="0"/>
            <w:i w:val="0"/>
            <w:color w:val="000000"/>
            <w:sz w:val="22"/>
          </w:rPr>
          <w:t>10.5281/zenodo.18601379</w:t>
        </w:r>
      </w:hyperlink>
      <w:r>
        <w:rPr>
          <w:rFonts w:ascii="Cambria" w:hAnsi="Cambria" w:eastAsia="Cambria"/>
          <w:b w:val="0"/>
          <w:i w:val="0"/>
          <w:color w:val="000000"/>
          <w:sz w:val="22"/>
        </w:rPr>
        <w:t>]</w:t>
      </w:r>
      <w:r>
        <w:rPr>
          <w:rFonts w:ascii="Cambria" w:hAnsi="Cambria" w:eastAsia="Cambria"/>
          <w:b w:val="0"/>
          <w:i w:val="0"/>
          <w:color w:val="000000"/>
          <w:sz w:val="22"/>
        </w:rPr>
        <w:t>. The final adsorption databases, processed site matched data, machine readable JSON records, analysis notebooks, and model predictions will be deposited with the final article. The databases used for the present working analysis are provisional.</w:t>
      </w:r>
    </w:p>
    <w:p>
      <w:pPr>
        <w:pStyle w:val="Heading1"/>
        <w:keepNext/>
        <w:spacing w:before="120" w:after="120" w:line="240" w:lineRule="auto"/>
        <w:jc w:val="left"/>
      </w:pPr>
      <w:r>
        <w:rPr>
          <w:rFonts w:ascii="Cambria" w:hAnsi="Cambria" w:eastAsia="Cambria"/>
          <w:b/>
          <w:color w:val="000000"/>
          <w:sz w:val="24"/>
        </w:rPr>
        <w:t>Declaration of generative AI and AI assisted technologies in the manuscript preparation process</w:t>
      </w:r>
    </w:p>
    <w:p>
      <w:pPr>
        <w:keepNext w:val="0"/>
        <w:widowControl/>
        <w:spacing w:before="0" w:after="120" w:line="259" w:lineRule="auto"/>
        <w:jc w:val="both"/>
      </w:pPr>
      <w:r>
        <w:rPr>
          <w:rFonts w:ascii="Cambria" w:hAnsi="Cambria" w:eastAsia="Cambria"/>
          <w:b w:val="0"/>
          <w:i w:val="0"/>
          <w:color w:val="000000"/>
          <w:sz w:val="22"/>
        </w:rPr>
        <w:t>We used OpenAI Codex with an OpenAI language model to generate the complete manuscript text and assist with analysis and figure code from our project records and instructions. We guided the work, reviewed and verified the text, and take responsibility for its content.</w:t>
      </w:r>
    </w:p>
    <w:p>
      <w:pPr>
        <w:pStyle w:val="Heading1"/>
        <w:keepNext/>
        <w:spacing w:before="120" w:after="120" w:line="240" w:lineRule="auto"/>
        <w:jc w:val="left"/>
      </w:pPr>
      <w:r>
        <w:rPr>
          <w:rFonts w:ascii="Cambria" w:hAnsi="Cambria" w:eastAsia="Cambria"/>
          <w:b/>
          <w:color w:val="000000"/>
          <w:sz w:val="24"/>
        </w:rPr>
        <w:t>Acknowledgments</w:t>
      </w:r>
    </w:p>
    <w:p>
      <w:pPr>
        <w:keepNext w:val="0"/>
        <w:widowControl/>
        <w:spacing w:before="0" w:after="120" w:line="259" w:lineRule="auto"/>
        <w:jc w:val="both"/>
      </w:pPr>
      <w:r>
        <w:rPr>
          <w:rFonts w:ascii="Cambria" w:hAnsi="Cambria" w:eastAsia="Cambria"/>
          <w:b w:val="0"/>
          <w:i w:val="0"/>
          <w:color w:val="000000"/>
          <w:sz w:val="22"/>
        </w:rP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pPr>
        <w:pStyle w:val="Heading1"/>
        <w:keepNext/>
        <w:spacing w:before="120" w:after="120" w:line="240" w:lineRule="auto"/>
        <w:jc w:val="left"/>
      </w:pPr>
      <w:r>
        <w:rPr>
          <w:rFonts w:ascii="Cambria" w:hAnsi="Cambria" w:eastAsia="Cambria"/>
          <w:b/>
          <w:color w:val="000000"/>
          <w:sz w:val="24"/>
        </w:rPr>
        <w:t>References</w:t>
      </w:r>
    </w:p>
    <w:p>
      <w:pPr>
        <w:keepNext w:val="0"/>
        <w:spacing w:before="0" w:after="120" w:line="259" w:lineRule="auto"/>
        <w:ind w:left="283" w:hanging="283"/>
        <w:jc w:val="left"/>
      </w:pPr>
      <w:r>
        <w:rPr>
          <w:rFonts w:ascii="Cambria" w:hAnsi="Cambria" w:eastAsia="Cambria"/>
          <w:b w:val="0"/>
          <w:i w:val="0"/>
          <w:color w:val="000000"/>
          <w:sz w:val="19"/>
        </w:rPr>
        <w:t>S</w:t>
      </w:r>
      <w:r>
        <w:rPr>
          <w:rFonts w:ascii="Cambria" w:hAnsi="Cambria" w:eastAsia="Cambria"/>
          <w:b w:val="0"/>
          <w:i w:val="0"/>
          <w:color w:val="000000"/>
          <w:sz w:val="19"/>
        </w:rPr>
        <w:t xml:space="preserve">. Jia et al., Machine Learning Reveals Role-Asymmetric Electronic Cooperation in Fe-Based Dual-Atom Catalysts, Advanced Materials 36 (2026) e74833. </w:t>
      </w:r>
      <w:r>
        <w:rPr>
          <w:rFonts w:ascii="Cambria" w:hAnsi="Cambria" w:eastAsia="Cambria"/>
          <w:b w:val="0"/>
          <w:i w:val="0"/>
          <w:color w:val="000000"/>
          <w:sz w:val="19"/>
        </w:rPr>
        <w:t>[</w:t>
      </w:r>
      <w:hyperlink r:id="rId13">
        <w:r>
          <w:rPr>
            <w:rFonts w:ascii="Cambria" w:hAnsi="Cambria" w:eastAsia="Cambria"/>
            <w:b w:val="0"/>
            <w:i w:val="0"/>
            <w:color w:val="000000"/>
            <w:sz w:val="19"/>
          </w:rPr>
          <w:t>10.1002/adma.74833</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Z. Zhang et al., Design and Synthesis of Electrocatalysts Based on Catalysis-Unit Engineering, Advanced Materials 36 (2024) 2403549. </w:t>
      </w:r>
      <w:r>
        <w:rPr>
          <w:rFonts w:ascii="Cambria" w:hAnsi="Cambria" w:eastAsia="Cambria"/>
          <w:b w:val="0"/>
          <w:i w:val="0"/>
          <w:color w:val="000000"/>
          <w:sz w:val="19"/>
        </w:rPr>
        <w:t>[</w:t>
      </w:r>
      <w:hyperlink r:id="rId14">
        <w:r>
          <w:rPr>
            <w:rFonts w:ascii="Cambria" w:hAnsi="Cambria" w:eastAsia="Cambria"/>
            <w:b w:val="0"/>
            <w:i w:val="0"/>
            <w:color w:val="000000"/>
            <w:sz w:val="19"/>
          </w:rPr>
          <w:t>10.1002/adma.202403549</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X. Chen et al., Leveraging DFT and Machine Learning for Accelerated Screening of Cluster-Modified Single-Atom Catalysts in Oxygen Reduction Reactions, ACS Catalysis 16 (2026) 14399–14410. </w:t>
      </w:r>
      <w:r>
        <w:rPr>
          <w:rFonts w:ascii="Cambria" w:hAnsi="Cambria" w:eastAsia="Cambria"/>
          <w:b w:val="0"/>
          <w:i w:val="0"/>
          <w:color w:val="000000"/>
          <w:sz w:val="19"/>
        </w:rPr>
        <w:t>[</w:t>
      </w:r>
      <w:hyperlink r:id="rId15">
        <w:r>
          <w:rPr>
            <w:rFonts w:ascii="Cambria" w:hAnsi="Cambria" w:eastAsia="Cambria"/>
            <w:b w:val="0"/>
            <w:i w:val="0"/>
            <w:color w:val="000000"/>
            <w:sz w:val="19"/>
          </w:rPr>
          <w:t>10.1021/acscatal.6c02383</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J. K. Nørskov, J. Rossmeisl, A. Logadottir, L. Lindqvist, J. R. Kitchin, </w:t>
      </w:r>
      <w:r>
        <w:rPr>
          <w:rFonts w:ascii="Cambria" w:hAnsi="Cambria" w:eastAsia="Cambria"/>
          <w:b w:val="0"/>
          <w:i w:val="0"/>
          <w:color w:val="000000"/>
          <w:sz w:val="19"/>
        </w:rPr>
        <w:t>T</w:t>
      </w:r>
      <w:r>
        <w:rPr>
          <w:rFonts w:ascii="Cambria" w:hAnsi="Cambria" w:eastAsia="Cambria"/>
          <w:b w:val="0"/>
          <w:i w:val="0"/>
          <w:color w:val="000000"/>
          <w:sz w:val="19"/>
        </w:rPr>
        <w:t xml:space="preserve">. Bligaard, H. Jónsson, Origin of the Overpotential for Oxygen Reduction at a Fuel-Cell Cathode, Journal of Physical Chemistry B 108 (2004) 17886–17892. </w:t>
      </w:r>
      <w:r>
        <w:rPr>
          <w:rFonts w:ascii="Cambria" w:hAnsi="Cambria" w:eastAsia="Cambria"/>
          <w:b w:val="0"/>
          <w:i w:val="0"/>
          <w:color w:val="000000"/>
          <w:sz w:val="19"/>
        </w:rPr>
        <w:t>[</w:t>
      </w:r>
      <w:hyperlink r:id="rId16">
        <w:r>
          <w:rPr>
            <w:rFonts w:ascii="Cambria" w:hAnsi="Cambria" w:eastAsia="Cambria"/>
            <w:b w:val="0"/>
            <w:i w:val="0"/>
            <w:color w:val="000000"/>
            <w:sz w:val="19"/>
          </w:rPr>
          <w:t>10.1021/jp047349j</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Q. Sun et al., Well-Defined Co₂ Dual-Atom Catalyst Breaks Scaling Relations of Oxygen Reduction Reaction, Journal of the American Chemical Society 146 (2024) 35295–35304. </w:t>
      </w:r>
      <w:r>
        <w:rPr>
          <w:rFonts w:ascii="Cambria" w:hAnsi="Cambria" w:eastAsia="Cambria"/>
          <w:b w:val="0"/>
          <w:i w:val="0"/>
          <w:color w:val="000000"/>
          <w:sz w:val="19"/>
        </w:rPr>
        <w:t>[</w:t>
      </w:r>
      <w:hyperlink r:id="rId17">
        <w:r>
          <w:rPr>
            <w:rFonts w:ascii="Cambria" w:hAnsi="Cambria" w:eastAsia="Cambria"/>
            <w:b w:val="0"/>
            <w:i w:val="0"/>
            <w:color w:val="000000"/>
            <w:sz w:val="19"/>
          </w:rPr>
          <w:t>10.1021/jacs.4c12705</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N. Žoglo et al., Intersite Geometry Controls Activity and Selectivity in the Oxygen Reduction Reaction on Dual-Atom-Site Catalysts, ChemRxiv preprint (2026). </w:t>
      </w:r>
      <w:r>
        <w:rPr>
          <w:rFonts w:ascii="Cambria" w:hAnsi="Cambria" w:eastAsia="Cambria"/>
          <w:b w:val="0"/>
          <w:i w:val="0"/>
          <w:color w:val="000000"/>
          <w:sz w:val="19"/>
        </w:rPr>
        <w:t>[</w:t>
      </w:r>
      <w:hyperlink r:id="rId18">
        <w:r>
          <w:rPr>
            <w:rFonts w:ascii="Cambria" w:hAnsi="Cambria" w:eastAsia="Cambria"/>
            <w:b w:val="0"/>
            <w:i w:val="0"/>
            <w:color w:val="000000"/>
            <w:sz w:val="19"/>
          </w:rPr>
          <w:t>10.26434/chemrxiv.15001712/v1</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L. X. Chen, P. Christopher, F. De Angelis, </w:t>
      </w:r>
      <w:r>
        <w:rPr>
          <w:rFonts w:ascii="Cambria" w:hAnsi="Cambria" w:eastAsia="Cambria"/>
          <w:b w:val="0"/>
          <w:i w:val="0"/>
          <w:color w:val="000000"/>
          <w:sz w:val="19"/>
        </w:rPr>
        <w:t>S</w:t>
      </w:r>
      <w:r>
        <w:rPr>
          <w:rFonts w:ascii="Cambria" w:hAnsi="Cambria" w:eastAsia="Cambria"/>
          <w:b w:val="0"/>
          <w:i w:val="0"/>
          <w:color w:val="000000"/>
          <w:sz w:val="19"/>
        </w:rPr>
        <w:t>. Jin, Y.-</w:t>
      </w:r>
      <w:r>
        <w:rPr>
          <w:rFonts w:ascii="Cambria" w:hAnsi="Cambria" w:eastAsia="Cambria"/>
          <w:b w:val="0"/>
          <w:i w:val="0"/>
          <w:color w:val="000000"/>
          <w:sz w:val="19"/>
        </w:rPr>
        <w:t>S</w:t>
      </w:r>
      <w:r>
        <w:rPr>
          <w:rFonts w:ascii="Cambria" w:hAnsi="Cambria" w:eastAsia="Cambria"/>
          <w:b w:val="0"/>
          <w:i w:val="0"/>
          <w:color w:val="000000"/>
          <w:sz w:val="19"/>
        </w:rPr>
        <w:t>. Hu, N.-</w:t>
      </w:r>
      <w:r>
        <w:rPr>
          <w:rFonts w:ascii="Cambria" w:hAnsi="Cambria" w:eastAsia="Cambria"/>
          <w:b w:val="0"/>
          <w:i w:val="0"/>
          <w:color w:val="000000"/>
          <w:sz w:val="19"/>
        </w:rPr>
        <w:t>G</w:t>
      </w:r>
      <w:r>
        <w:rPr>
          <w:rFonts w:ascii="Cambria" w:hAnsi="Cambria" w:eastAsia="Cambria"/>
          <w:b w:val="0"/>
          <w:i w:val="0"/>
          <w:color w:val="000000"/>
          <w:sz w:val="19"/>
        </w:rPr>
        <w:t xml:space="preserve">. Park, D. Das Sarma, Y.-K. Sun, P. V. Kamat, We Editors Are Authors, Too, ACS Energy Letters 4 (2019) 249–250. </w:t>
      </w:r>
      <w:r>
        <w:rPr>
          <w:rFonts w:ascii="Cambria" w:hAnsi="Cambria" w:eastAsia="Cambria"/>
          <w:b w:val="0"/>
          <w:i w:val="0"/>
          <w:color w:val="000000"/>
          <w:sz w:val="19"/>
        </w:rPr>
        <w:t>[</w:t>
      </w:r>
      <w:hyperlink r:id="rId19">
        <w:r>
          <w:rPr>
            <w:rFonts w:ascii="Cambria" w:hAnsi="Cambria" w:eastAsia="Cambria"/>
            <w:b w:val="0"/>
            <w:i w:val="0"/>
            <w:color w:val="000000"/>
            <w:sz w:val="19"/>
          </w:rPr>
          <w:t>10.1021/acsenergylett.8b02322</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Elements of style, Nature Physics 3 (2007) 581. </w:t>
      </w:r>
      <w:r>
        <w:rPr>
          <w:rFonts w:ascii="Cambria" w:hAnsi="Cambria" w:eastAsia="Cambria"/>
          <w:b w:val="0"/>
          <w:i w:val="0"/>
          <w:color w:val="000000"/>
          <w:sz w:val="19"/>
        </w:rPr>
        <w:t>[</w:t>
      </w:r>
      <w:hyperlink r:id="rId20">
        <w:r>
          <w:rPr>
            <w:rFonts w:ascii="Cambria" w:hAnsi="Cambria" w:eastAsia="Cambria"/>
            <w:b w:val="0"/>
            <w:i w:val="0"/>
            <w:color w:val="000000"/>
            <w:sz w:val="19"/>
          </w:rPr>
          <w:t>10.1038/nphys724</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C. M. Biegel, P. V. Kamat, Five common pitfalls to avoid while composing scientific figures, ACS Energy Letters 6 (2021) 4309–4310. </w:t>
      </w:r>
      <w:r>
        <w:rPr>
          <w:rFonts w:ascii="Cambria" w:hAnsi="Cambria" w:eastAsia="Cambria"/>
          <w:b w:val="0"/>
          <w:i w:val="0"/>
          <w:color w:val="000000"/>
          <w:sz w:val="19"/>
        </w:rPr>
        <w:t>[</w:t>
      </w:r>
      <w:hyperlink r:id="rId21">
        <w:r>
          <w:rPr>
            <w:rFonts w:ascii="Cambria" w:hAnsi="Cambria" w:eastAsia="Cambria"/>
            <w:b w:val="0"/>
            <w:i w:val="0"/>
            <w:color w:val="000000"/>
            <w:sz w:val="19"/>
          </w:rPr>
          <w:t>10.1021/acsenergylett.1c02401</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Storytelling in research, Nature Biomedical Engineering 2 (2018) 53. </w:t>
      </w:r>
      <w:r>
        <w:rPr>
          <w:rFonts w:ascii="Cambria" w:hAnsi="Cambria" w:eastAsia="Cambria"/>
          <w:b w:val="0"/>
          <w:i w:val="0"/>
          <w:color w:val="000000"/>
          <w:sz w:val="19"/>
        </w:rPr>
        <w:t>[</w:t>
      </w:r>
      <w:hyperlink r:id="rId22">
        <w:r>
          <w:rPr>
            <w:rFonts w:ascii="Cambria" w:hAnsi="Cambria" w:eastAsia="Cambria"/>
            <w:b w:val="0"/>
            <w:i w:val="0"/>
            <w:color w:val="000000"/>
            <w:sz w:val="19"/>
          </w:rPr>
          <w:t>10.1038/s41551-018-0202-5</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Should scientists tell stories?, Nature Methods 10 (2013) 1037. </w:t>
      </w:r>
      <w:r>
        <w:rPr>
          <w:rFonts w:ascii="Cambria" w:hAnsi="Cambria" w:eastAsia="Cambria"/>
          <w:b w:val="0"/>
          <w:i w:val="0"/>
          <w:color w:val="000000"/>
          <w:sz w:val="19"/>
        </w:rPr>
        <w:t>[</w:t>
      </w:r>
      <w:hyperlink r:id="rId23">
        <w:r>
          <w:rPr>
            <w:rFonts w:ascii="Cambria" w:hAnsi="Cambria" w:eastAsia="Cambria"/>
            <w:b w:val="0"/>
            <w:i w:val="0"/>
            <w:color w:val="000000"/>
            <w:sz w:val="19"/>
          </w:rPr>
          <w:t>10.1038/nmeth.2726</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B. L. Nguyen, </w:t>
      </w:r>
      <w:r>
        <w:rPr>
          <w:rFonts w:ascii="Cambria" w:hAnsi="Cambria" w:eastAsia="Cambria"/>
          <w:b w:val="0"/>
          <w:i w:val="0"/>
          <w:color w:val="000000"/>
          <w:sz w:val="19"/>
        </w:rPr>
        <w:t>T</w:t>
      </w:r>
      <w:r>
        <w:rPr>
          <w:rFonts w:ascii="Cambria" w:hAnsi="Cambria" w:eastAsia="Cambria"/>
          <w:b w:val="0"/>
          <w:i w:val="0"/>
          <w:color w:val="000000"/>
          <w:sz w:val="19"/>
        </w:rPr>
        <w:t xml:space="preserve">. K. Madsen, V. Ivanistsev, N. Kongi, Dataset of molecular dual-atom site complexes for catalysis, Data in Brief 66 (2026) 112806. </w:t>
      </w:r>
      <w:r>
        <w:rPr>
          <w:rFonts w:ascii="Cambria" w:hAnsi="Cambria" w:eastAsia="Cambria"/>
          <w:b w:val="0"/>
          <w:i w:val="0"/>
          <w:color w:val="000000"/>
          <w:sz w:val="19"/>
        </w:rPr>
        <w:t>[</w:t>
      </w:r>
      <w:hyperlink r:id="rId24">
        <w:r>
          <w:rPr>
            <w:rFonts w:ascii="Cambria" w:hAnsi="Cambria" w:eastAsia="Cambria"/>
            <w:b w:val="0"/>
            <w:i w:val="0"/>
            <w:color w:val="000000"/>
            <w:sz w:val="19"/>
          </w:rPr>
          <w:t>10.1016/j.dib.2026.112806</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J. J. Mortensen et al., GPAW: An open Python package for electronic structure calculations, Journal of Chemical Physics 160 (2024) 092503. </w:t>
      </w:r>
      <w:r>
        <w:rPr>
          <w:rFonts w:ascii="Cambria" w:hAnsi="Cambria" w:eastAsia="Cambria"/>
          <w:b w:val="0"/>
          <w:i w:val="0"/>
          <w:color w:val="000000"/>
          <w:sz w:val="19"/>
        </w:rPr>
        <w:t>[</w:t>
      </w:r>
      <w:hyperlink r:id="rId25">
        <w:r>
          <w:rPr>
            <w:rFonts w:ascii="Cambria" w:hAnsi="Cambria" w:eastAsia="Cambria"/>
            <w:b w:val="0"/>
            <w:i w:val="0"/>
            <w:color w:val="000000"/>
            <w:sz w:val="19"/>
          </w:rPr>
          <w:t>10.1063/5.0182685</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A. H. Larsen et al., The Atomic Simulation Environment—A Python Library for Working with Atoms, Journal of Physics: Condensed Matter 29 (2017) 273002. </w:t>
      </w:r>
      <w:r>
        <w:rPr>
          <w:rFonts w:ascii="Cambria" w:hAnsi="Cambria" w:eastAsia="Cambria"/>
          <w:b w:val="0"/>
          <w:i w:val="0"/>
          <w:color w:val="000000"/>
          <w:sz w:val="19"/>
        </w:rPr>
        <w:t>[</w:t>
      </w:r>
      <w:hyperlink r:id="rId26">
        <w:r>
          <w:rPr>
            <w:rFonts w:ascii="Cambria" w:hAnsi="Cambria" w:eastAsia="Cambria"/>
            <w:b w:val="0"/>
            <w:i w:val="0"/>
            <w:color w:val="000000"/>
            <w:sz w:val="19"/>
          </w:rPr>
          <w:t>10.1088/1361-648X/aa680e</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E</w:t>
      </w:r>
      <w:r>
        <w:rPr>
          <w:rFonts w:ascii="Cambria" w:hAnsi="Cambria" w:eastAsia="Cambria"/>
          <w:b w:val="0"/>
          <w:i w:val="0"/>
          <w:color w:val="000000"/>
          <w:sz w:val="19"/>
        </w:rPr>
        <w:t xml:space="preserve">. Caldeweyher, </w:t>
      </w:r>
      <w:r>
        <w:rPr>
          <w:rFonts w:ascii="Cambria" w:hAnsi="Cambria" w:eastAsia="Cambria"/>
          <w:b w:val="0"/>
          <w:i w:val="0"/>
          <w:color w:val="000000"/>
          <w:sz w:val="19"/>
        </w:rPr>
        <w:t>S</w:t>
      </w:r>
      <w:r>
        <w:rPr>
          <w:rFonts w:ascii="Cambria" w:hAnsi="Cambria" w:eastAsia="Cambria"/>
          <w:b w:val="0"/>
          <w:i w:val="0"/>
          <w:color w:val="000000"/>
          <w:sz w:val="19"/>
        </w:rPr>
        <w:t xml:space="preserve">. Ehlert, A. Hansen, H. Neugebauer, </w:t>
      </w:r>
      <w:r>
        <w:rPr>
          <w:rFonts w:ascii="Cambria" w:hAnsi="Cambria" w:eastAsia="Cambria"/>
          <w:b w:val="0"/>
          <w:i w:val="0"/>
          <w:color w:val="000000"/>
          <w:sz w:val="19"/>
        </w:rPr>
        <w:t>S</w:t>
      </w:r>
      <w:r>
        <w:rPr>
          <w:rFonts w:ascii="Cambria" w:hAnsi="Cambria" w:eastAsia="Cambria"/>
          <w:b w:val="0"/>
          <w:i w:val="0"/>
          <w:color w:val="000000"/>
          <w:sz w:val="19"/>
        </w:rPr>
        <w:t xml:space="preserve">. Spicher, C. Bannwarth, </w:t>
      </w:r>
      <w:r>
        <w:rPr>
          <w:rFonts w:ascii="Cambria" w:hAnsi="Cambria" w:eastAsia="Cambria"/>
          <w:b w:val="0"/>
          <w:i w:val="0"/>
          <w:color w:val="000000"/>
          <w:sz w:val="19"/>
        </w:rPr>
        <w:t>S</w:t>
      </w:r>
      <w:r>
        <w:rPr>
          <w:rFonts w:ascii="Cambria" w:hAnsi="Cambria" w:eastAsia="Cambria"/>
          <w:b w:val="0"/>
          <w:i w:val="0"/>
          <w:color w:val="000000"/>
          <w:sz w:val="19"/>
        </w:rPr>
        <w:t xml:space="preserve">. Grimme, A generally applicable atomic-charge dependent London dispersion correction, Journal of Chemical Physics 150 (2019) 154122. </w:t>
      </w:r>
      <w:r>
        <w:rPr>
          <w:rFonts w:ascii="Cambria" w:hAnsi="Cambria" w:eastAsia="Cambria"/>
          <w:b w:val="0"/>
          <w:i w:val="0"/>
          <w:color w:val="000000"/>
          <w:sz w:val="19"/>
        </w:rPr>
        <w:t>[</w:t>
      </w:r>
      <w:hyperlink r:id="rId27">
        <w:r>
          <w:rPr>
            <w:rFonts w:ascii="Cambria" w:hAnsi="Cambria" w:eastAsia="Cambria"/>
            <w:b w:val="0"/>
            <w:i w:val="0"/>
            <w:color w:val="000000"/>
            <w:sz w:val="19"/>
          </w:rPr>
          <w:t>10.1063/1.5090222</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N. Govindarajan, J. M. García-Lastra, </w:t>
      </w:r>
      <w:r>
        <w:rPr>
          <w:rFonts w:ascii="Cambria" w:hAnsi="Cambria" w:eastAsia="Cambria"/>
          <w:b w:val="0"/>
          <w:i w:val="0"/>
          <w:color w:val="000000"/>
          <w:sz w:val="19"/>
        </w:rPr>
        <w:t>E</w:t>
      </w:r>
      <w:r>
        <w:rPr>
          <w:rFonts w:ascii="Cambria" w:hAnsi="Cambria" w:eastAsia="Cambria"/>
          <w:b w:val="0"/>
          <w:i w:val="0"/>
          <w:color w:val="000000"/>
          <w:sz w:val="19"/>
        </w:rPr>
        <w:t xml:space="preserve">. J. Meijer, F. Calle-Vallejo, Does the breaking of adsorption energy scaling relations guarantee enhanced electrocatalysis?, Current Opinion in Electrochemistry 8 (2018) 110–117. </w:t>
      </w:r>
      <w:r>
        <w:rPr>
          <w:rFonts w:ascii="Cambria" w:hAnsi="Cambria" w:eastAsia="Cambria"/>
          <w:b w:val="0"/>
          <w:i w:val="0"/>
          <w:color w:val="000000"/>
          <w:sz w:val="19"/>
        </w:rPr>
        <w:t>[</w:t>
      </w:r>
      <w:hyperlink r:id="rId28">
        <w:r>
          <w:rPr>
            <w:rFonts w:ascii="Cambria" w:hAnsi="Cambria" w:eastAsia="Cambria"/>
            <w:b w:val="0"/>
            <w:i w:val="0"/>
            <w:color w:val="000000"/>
            <w:sz w:val="19"/>
          </w:rPr>
          <w:t>10.1016/j.coelec.2018.03.025</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S</w:t>
      </w:r>
      <w:r>
        <w:rPr>
          <w:rFonts w:ascii="Cambria" w:hAnsi="Cambria" w:eastAsia="Cambria"/>
          <w:b w:val="0"/>
          <w:i w:val="0"/>
          <w:color w:val="000000"/>
          <w:sz w:val="19"/>
        </w:rPr>
        <w:t xml:space="preserve">. Razzaq, K. </w:t>
      </w:r>
      <w:r>
        <w:rPr>
          <w:rFonts w:ascii="Cambria" w:hAnsi="Cambria" w:eastAsia="Cambria"/>
          <w:b w:val="0"/>
          <w:i w:val="0"/>
          <w:color w:val="000000"/>
          <w:sz w:val="19"/>
        </w:rPr>
        <w:t>S</w:t>
      </w:r>
      <w:r>
        <w:rPr>
          <w:rFonts w:ascii="Cambria" w:hAnsi="Cambria" w:eastAsia="Cambria"/>
          <w:b w:val="0"/>
          <w:i w:val="0"/>
          <w:color w:val="000000"/>
          <w:sz w:val="19"/>
        </w:rPr>
        <w:t xml:space="preserve">. Exner, Materials screening by the descriptor Gmax(η): The free energy span model in electrocatalysis, ACS Catalysis 13 (2023) 1740–1758. </w:t>
      </w:r>
      <w:r>
        <w:rPr>
          <w:rFonts w:ascii="Cambria" w:hAnsi="Cambria" w:eastAsia="Cambria"/>
          <w:b w:val="0"/>
          <w:i w:val="0"/>
          <w:color w:val="000000"/>
          <w:sz w:val="19"/>
        </w:rPr>
        <w:t>[</w:t>
      </w:r>
      <w:hyperlink r:id="rId29">
        <w:r>
          <w:rPr>
            <w:rFonts w:ascii="Cambria" w:hAnsi="Cambria" w:eastAsia="Cambria"/>
            <w:b w:val="0"/>
            <w:i w:val="0"/>
            <w:color w:val="000000"/>
            <w:sz w:val="19"/>
          </w:rPr>
          <w:t>10.1021/acscatal.2c03997</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M. D. Wilkinson et al., The FAIR guiding principles for scientific data management and stewardship, Scientific Data 3 (2016) 160018. </w:t>
      </w:r>
      <w:r>
        <w:rPr>
          <w:rFonts w:ascii="Cambria" w:hAnsi="Cambria" w:eastAsia="Cambria"/>
          <w:b w:val="0"/>
          <w:i w:val="0"/>
          <w:color w:val="000000"/>
          <w:sz w:val="19"/>
        </w:rPr>
        <w:t>[</w:t>
      </w:r>
      <w:hyperlink r:id="rId30">
        <w:r>
          <w:rPr>
            <w:rFonts w:ascii="Cambria" w:hAnsi="Cambria" w:eastAsia="Cambria"/>
            <w:b w:val="0"/>
            <w:i w:val="0"/>
            <w:color w:val="000000"/>
            <w:sz w:val="19"/>
          </w:rPr>
          <w:t>10.1038/sdata.2016.18</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[dataset] B. L. Nguyen, </w:t>
      </w:r>
      <w:r>
        <w:rPr>
          <w:rFonts w:ascii="Cambria" w:hAnsi="Cambria" w:eastAsia="Cambria"/>
          <w:b w:val="0"/>
          <w:i w:val="0"/>
          <w:color w:val="000000"/>
          <w:sz w:val="19"/>
        </w:rPr>
        <w:t>T</w:t>
      </w:r>
      <w:r>
        <w:rPr>
          <w:rFonts w:ascii="Cambria" w:hAnsi="Cambria" w:eastAsia="Cambria"/>
          <w:b w:val="0"/>
          <w:i w:val="0"/>
          <w:color w:val="000000"/>
          <w:sz w:val="19"/>
        </w:rPr>
        <w:t xml:space="preserve">. K. Madsen, V. Ivanistsev, N. Kongi, Dataset of molecular dual-atom site complexes for catalysis, Zenodo, version 1.0, 2026. </w:t>
      </w:r>
      <w:r>
        <w:rPr>
          <w:rFonts w:ascii="Cambria" w:hAnsi="Cambria" w:eastAsia="Cambria"/>
          <w:b w:val="0"/>
          <w:i w:val="0"/>
          <w:color w:val="000000"/>
          <w:sz w:val="19"/>
        </w:rPr>
        <w:t>[</w:t>
      </w:r>
      <w:hyperlink r:id="rId31">
        <w:r>
          <w:rPr>
            <w:rFonts w:ascii="Cambria" w:hAnsi="Cambria" w:eastAsia="Cambria"/>
            <w:b w:val="0"/>
            <w:i w:val="0"/>
            <w:color w:val="000000"/>
            <w:sz w:val="19"/>
          </w:rPr>
          <w:t>10.5281/zenodo.18601379</w:t>
        </w:r>
      </w:hyperlink>
      <w:r>
        <w:rPr>
          <w:rFonts w:ascii="Cambria" w:hAnsi="Cambria" w:eastAsia="Cambria"/>
          <w:b w:val="0"/>
          <w:i w:val="0"/>
          <w:color w:val="000000"/>
          <w:sz w:val="19"/>
        </w:rPr>
        <w:t>]</w:t>
      </w:r>
    </w:p>
    <w:p>
      <w:pPr>
        <w:keepNext w:val="0"/>
        <w:spacing w:before="0" w:after="120" w:line="259" w:lineRule="auto"/>
      </w:pPr>
      <w:r>
        <w:rPr>
          <w:rFonts w:ascii="Cambria" w:hAnsi="Cambria" w:eastAsia="Cambria"/>
          <w:b w:val="0"/>
          <w:i w:val="0"/>
          <w:color w:val="000000"/>
          <w:sz w:val="19"/>
        </w:rPr>
        <w:t xml:space="preserve">D. Kobak, R. González-Márquez, </w:t>
      </w:r>
      <w:r>
        <w:rPr>
          <w:rFonts w:ascii="Cambria" w:hAnsi="Cambria" w:eastAsia="Cambria"/>
          <w:b w:val="0"/>
          <w:i w:val="0"/>
          <w:color w:val="000000"/>
          <w:sz w:val="19"/>
        </w:rPr>
        <w:t>E</w:t>
      </w:r>
      <w:r>
        <w:rPr>
          <w:rFonts w:ascii="Cambria" w:hAnsi="Cambria" w:eastAsia="Cambria"/>
          <w:b w:val="0"/>
          <w:i w:val="0"/>
          <w:color w:val="000000"/>
          <w:sz w:val="19"/>
        </w:rPr>
        <w:t xml:space="preserve">.-Á. Horvát, J. Lause, Delving into LLM-assisted writing in biomedical publications through excess vocabulary, Science Advances 11 (2025) eadt3813. </w:t>
      </w:r>
      <w:r>
        <w:rPr>
          <w:rFonts w:ascii="Cambria" w:hAnsi="Cambria" w:eastAsia="Cambria"/>
          <w:b w:val="0"/>
          <w:i w:val="0"/>
          <w:color w:val="000000"/>
          <w:sz w:val="19"/>
        </w:rPr>
        <w:t>[</w:t>
      </w:r>
      <w:hyperlink r:id="rId32">
        <w:r>
          <w:rPr>
            <w:rFonts w:ascii="Cambria" w:hAnsi="Cambria" w:eastAsia="Cambria"/>
            <w:b w:val="0"/>
            <w:i w:val="0"/>
            <w:color w:val="000000"/>
            <w:sz w:val="19"/>
          </w:rPr>
          <w:t>10.1126/sciadv.adt3813</w:t>
        </w:r>
      </w:hyperlink>
      <w:r>
        <w:rPr>
          <w:rFonts w:ascii="Cambria" w:hAnsi="Cambria" w:eastAsia="Cambria"/>
          <w:b w:val="0"/>
          <w:i w:val="0"/>
          <w:color w:val="000000"/>
          <w:sz w:val="19"/>
        </w:rP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Vars>
    <w:docVar w:name="TargetJournal" w:val="Electrochimica Acta"/>
    <w:docVar w:name="UserAcceptedEdit_001" w:val="{&quot;operation&quot;:&quot;delete&quot;,&quot;text&quot;:&quot;Bruno Leite&quot;,&quot;context&quot;:&quot;Bruno Inácio da Silva Roux LeiteBruno Leite1, Denis SavchenkoDeniss Savtšenko1, Timmo-Henrik Pukk1, Ba Long Nguyen1, Vladislav Ivanistsev2,†, and Nadezda Kongi1,†&quot;,&quot;author&quot;:&quot;Vladislav Ivaništšev&quot;}"/>
    <w:docVar w:name="UserAcceptedEdit_002" w:val="{&quot;operation&quot;:&quot;delete&quot;,&quot;text&quot;:&quot;Deniss Savtšenko&quot;,&quot;context&quot;:&quot;Bruno Inácio da Silva Roux Leite1, Denis SavchenkoDeniss Savtšenko1, Timmo-Henrik Pukk1, Ba Long Nguyen1, Vladislav Ivanistsev2,†, and Nadezda Kongi1,†&quot;,&quot;author&quot;:&quot;Vladislav Ivaništšev&quot;}"/>
    <w:docVar w:name="UserAcceptedEdit_003" w:val="{&quot;operation&quot;:&quot;delete&quot;,&quot;text&quot;:&quot;zero-dimensional &quot;,&quot;context&quot;:&quot;Keywords: artificial intelligence; computational hydrogen electrode; density functional theory; machine learning; oxygen reduction reaction; scaling relations; zero-dimensional mol&quot;,&quot;author&quot;:&quot;Vladislav Ivaništšev&quot;}"/>
    <w:docVar w:name="UserAcceptedEdit_005" w:val="{&quot;operation&quot;:&quot;delete&quot;,&quot;text&quot;:&quot;,1;&quot;,&quot;context&quot;:&quot;,1; Denis Savchenko,1; Timmo-Henrik Pukk,1; Ba Long Nguyen,1; Vladislav Ivanistsev,2,†; Nadezda Kongi,1,†&quot;,&quot;author&quot;:&quot;Vladislav Ivaništšev&quot;}"/>
    <w:docVar w:name="UserDecision_RegressionScope" w:val="{&quot;reaction&quot;:&quot;ORR&quot;,&quot;prediction&quot;:&quot;broader&quot;,&quot;final_model&quot;:&quot;predict adsorption free energies and reconstruct ORR overpotential&quot;,&quot;charge_audit&quot;:&quot;skipped by author&quot;}"/>
    <w:docVar w:name="UserRule_Figure1ComponentOrder" w:val="Metal 1: Cr, Mn, Fe, Co, Ni, Cu; Metal 2: Cr, Mn, Fe, Co, Ni, Cu; Bridge: N, O, S; Diamine: B1, B2; Dialdehyde: A2"/>
    <w:docVar w:name="UserRule_Figure1FinalContent" w:val="Figure 1 final labels and component order: Metal 1: Cr, Mn, Fe, Co, Ni, Cu; Metal 2: Cr, Mn, Fe, Co, Ni, Cu; Bridge: N, O, S; Diamine: B1, B2; Dialdehyde: A2. Arrows point to the named structural regions; no direct metal-metal bond."/>
    <w:docVar w:name="UserRule_AuthorAffiliationMarkers_v23" w:val="Keep each author name in its own locked Word control without punctuation. Place a separate comma run before the superscript affiliation marker. Corresponding-author dagger follows the number without an internal comma."/>
    <w:docVar w:name="UserRule_AuthorAffiliationMarkers_v24" w:val="Author names contain no punctuation. Put one comma before each superscript affiliation number; add no comma after the number. Separate author entries with a single space. Put the corresponding-author dagger directly after the affiliation number."/>
    <w:docVar w:name="UserRule_CleanRelease_v25" w:val="This requested clean release accepts all tracked revisions in v24 and contains no visible Track Changes markup. Preserve the v24 tracked history and all author-approved locked text controls."/>
    <w:docVar w:name="UserRule_CleanRelease_v27" w:val="Accepted v26 revisions; clean text; historical v26 retained."/>
    <w:docVar w:name="UserRule_CleanRelease_v28" w:val="Clean v28 manuscript; preserves the author-approved layout and text controls; v27 retained."/>
    <w:docVar w:name="UserRule_CleanRelease_v29" w:val="Clean v29 manuscript; applies the supplied Electrochimica Acta guide and Figure 2 v5; v28 retained."/>
    <w:docVar w:name="UserRule_NoUnnecessaryCompoundHyphens" w:val="{&quot;scope&quot;:&quot;author-written text before References&quot;,&quot;prohibited&quot;:[&quot;81-structure&quot;,&quot;CHE-derived&quot;,&quot;DFT-derived&quot;,&quot;DFT-optimized&quot;,&quot;Gas-phase&quot;,&quot;Model-predicted&quot;,&quot;OH-to-water&quot;,&quot;Schiff-base&quot;,&quot;Site-resolved&quot;,&quot;active-site&quot;,&quot;adsorbate-induced&quot;,&quot;adsorption-energy&quot;,&quot;adsorption-site&quot;,&quot;as-synthesized&quot;,&quot;atom-level&quot;,&quot;catalysis-unit&quot;,&quot;catalyst-specific&quot;,&quot;catalyst–adsorption-site pair&quot;,&quot;catalyst–adsorption-site pairs&quot;,&quot;catalyst–adsorption-site pathways&quot;,&quot;catalyst–site&quot;,&quot;catalyst–site data&quot;,&quot;catalyst–site matching&quot;,&quot;catalyst–site pathways&quot;,&quot;cluster-modified&quot;,&quot;diamine-derived&quot;,&quot;document-production&quot;,&quot;dual-metal&quot;,&quot;electronic-structure&quot;,&quot;exchange-correlation&quot;,&quot;extended-phthalocyanine&quot;,&quot;figure-layout&quot;,&quot;four-electron&quot;,&quot;free-energy&quot;,&quot;gas-phase&quot;,&quot;imine-linking&quot;,&quot;kinetic-energy&quot;,&quot;least-squares&quot;,&quot;literature-selected&quot;,&quot;low-overpotential&quot;,&quot;low-temperature&quot;,&quot;lower-energy&quot;,&quot;model-predicted&quot;,&quot;model-validation&quot;,&quot;non-overlapping&quot;,&quot;one-half&quot;,&quot;oxygen-intermediate&quot;,&quot;oxygen-reduction&quot;,&quot;plane-wave&quot;,&quot;potential-determining&quot;,&quot;projector-augmented-wave&quot;,&quot;real-space&quot;,&quot;redox-driven&quot;,&quot;role-asymmetric&quot;,&quot;root-mean-square&quot;,&quot;self-consistently&quot;,&quot;single-atom&quot;,&quot;site-resolved&quot;,&quot;spin-polarized&quot;,&quot;xTB-optimized&quot;,&quot;zero-overpotential&quot;,&quot;Γ-point&quot;],&quot;allowed&quot;:[&quot;0D-DASC&quot;,&quot;0D-DASCs&quot;,&quot;Dual-Atom&quot;,&quot;Dual-Atom Site&quot;,&quot;GFN2-xTB&quot;,&quot;GPT-6-Sol&quot;,&quot;LV-1004&quot;,&quot;OOH-x&quot;,&quot;OOH-z&quot;,&quot;Timmo-Henrik&quot;,&quot;dual-atom&quot;,&quot;dual-atom site&quot;,&quot;dual-atom site catalyst&quot;,&quot;dual-atom site catalysts&quot;,&quot;linear regression with second-order polynomial features&quot;]}"/>
    <w:docVar w:name="UserRule_TrackedRelease_v30" w:val="Tracked v30 manuscript; one ten-role review cycle; numbered CHE potentials and Figure 2 v7; v29 retained."/>
    <w:docVar w:name="UserRule_DualAtomSiteTerm" w:val="Use dual-atom site catalyst; the hyphen joins dual and atom only."/>
    <w:docVar w:name="UserRule_ZeroDimensional" w:val="maximum-occurrences:1"/>
    <w:docVar w:name="UserRule_EquationTypography" w:val="Greek upright; Latin quantities italic; chemical formulas, units, functions and descriptive indices upright; native OMML structures."/>
    <w:docVar w:name="UserRule_CleanRelease_v31" w:val="Clean v31; accepted revisions; captions within the article; Figures 2 v8 and 3 v2."/>
    <w:docVar w:name="UserRule_Citations" w:val="Linked DOIs in square brackets until explicit author request for formatting."/>
    <w:docVar w:name="UserRule_Voice" w:val="70 percent Chandler, 30 percent Feynman; we for our actions; no framework or scaffold in prose."/>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20" w:line="259" w:lineRule="auto" w:before="0"/>
      <w:jc w:val="both"/>
    </w:pPr>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Cambria" w:hAnsi="Cambria" w:eastAsia="Cambr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Cambria" w:hAnsi="Cambria" w:eastAsia="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2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002/adma.74833" TargetMode="External"/><Relationship Id="rId14" Type="http://schemas.openxmlformats.org/officeDocument/2006/relationships/hyperlink" Target="https://doi.org/10.1002/adma.202403549" TargetMode="External"/><Relationship Id="rId15" Type="http://schemas.openxmlformats.org/officeDocument/2006/relationships/hyperlink" Target="https://doi.org/10.1021/acscatal.6c02383" TargetMode="External"/><Relationship Id="rId16" Type="http://schemas.openxmlformats.org/officeDocument/2006/relationships/hyperlink" Target="https://doi.org/10.1021/jp047349j" TargetMode="External"/><Relationship Id="rId17" Type="http://schemas.openxmlformats.org/officeDocument/2006/relationships/hyperlink" Target="https://doi.org/10.1021/jacs.4c12705" TargetMode="External"/><Relationship Id="rId18" Type="http://schemas.openxmlformats.org/officeDocument/2006/relationships/hyperlink" Target="https://doi.org/10.26434/chemrxiv.15001712/v1" TargetMode="External"/><Relationship Id="rId19" Type="http://schemas.openxmlformats.org/officeDocument/2006/relationships/hyperlink" Target="https://doi.org/10.1021/acsenergylett.8b02322" TargetMode="External"/><Relationship Id="rId20" Type="http://schemas.openxmlformats.org/officeDocument/2006/relationships/hyperlink" Target="https://doi.org/10.1038/nphys724" TargetMode="External"/><Relationship Id="rId21" Type="http://schemas.openxmlformats.org/officeDocument/2006/relationships/hyperlink" Target="https://doi.org/10.1021/acsenergylett.1c02401" TargetMode="External"/><Relationship Id="rId22" Type="http://schemas.openxmlformats.org/officeDocument/2006/relationships/hyperlink" Target="https://doi.org/10.1038/s41551-018-0202-5" TargetMode="External"/><Relationship Id="rId23" Type="http://schemas.openxmlformats.org/officeDocument/2006/relationships/hyperlink" Target="https://doi.org/10.1038/nmeth.2726" TargetMode="External"/><Relationship Id="rId24" Type="http://schemas.openxmlformats.org/officeDocument/2006/relationships/hyperlink" Target="https://doi.org/10.1016/j.dib.2026.112806" TargetMode="External"/><Relationship Id="rId25" Type="http://schemas.openxmlformats.org/officeDocument/2006/relationships/hyperlink" Target="https://doi.org/10.1063/5.0182685" TargetMode="External"/><Relationship Id="rId26" Type="http://schemas.openxmlformats.org/officeDocument/2006/relationships/hyperlink" Target="https://doi.org/10.1088/1361-648X/aa680e" TargetMode="External"/><Relationship Id="rId27" Type="http://schemas.openxmlformats.org/officeDocument/2006/relationships/hyperlink" Target="https://doi.org/10.1063/1.5090222" TargetMode="External"/><Relationship Id="rId28" Type="http://schemas.openxmlformats.org/officeDocument/2006/relationships/hyperlink" Target="https://doi.org/10.1016/j.coelec.2018.03.025" TargetMode="External"/><Relationship Id="rId29" Type="http://schemas.openxmlformats.org/officeDocument/2006/relationships/hyperlink" Target="https://doi.org/10.1021/acscatal.2c03997" TargetMode="External"/><Relationship Id="rId30" Type="http://schemas.openxmlformats.org/officeDocument/2006/relationships/hyperlink" Target="https://doi.org/10.1038/sdata.2016.18" TargetMode="External"/><Relationship Id="rId31" Type="http://schemas.openxmlformats.org/officeDocument/2006/relationships/hyperlink" Target="https://doi.org/10.5281/zenodo.18601379" TargetMode="External"/><Relationship Id="rId32" Type="http://schemas.openxmlformats.org/officeDocument/2006/relationships/hyperlink" Target="https://doi.org/10.1126/sciadv.adt3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