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DB3F" w14:textId="77777777" w:rsidR="001822C1" w:rsidRDefault="00000000">
      <w:pPr>
        <w:pStyle w:val="Heading1"/>
      </w:pPr>
      <w:r>
        <w:t xml:space="preserve">Accelerating Catalyst </w:t>
      </w:r>
      <w:sdt>
        <w:sdtPr>
          <w:tag w:val="goog_rdk_0"/>
          <w:id w:val="-491575987"/>
        </w:sdtPr>
        <w:sdtContent/>
      </w:sdt>
      <w:r>
        <w:t>Discovery</w:t>
      </w:r>
      <w:sdt>
        <w:sdtPr>
          <w:tag w:val="goog_rdk_1"/>
          <w:id w:val="-1973803274"/>
        </w:sdtPr>
        <w:sdtContent/>
      </w:sdt>
      <w:r>
        <w:t xml:space="preserve"> with Artificial Intelligence: Molecular Dual-Atom Site Catalysts as a Case Study</w:t>
      </w:r>
    </w:p>
    <w:p w14:paraId="0AD7E113" w14:textId="77777777" w:rsidR="001822C1"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16E23992" w14:textId="77777777" w:rsidR="001822C1" w:rsidRDefault="00000000">
      <w:r>
        <w:t>1 Institute of Chemistry, University of Tartu, Ravila 14a, 50411 Tartu, Estonia</w:t>
      </w:r>
    </w:p>
    <w:p w14:paraId="7FC75B32" w14:textId="77777777" w:rsidR="001822C1" w:rsidRDefault="00000000">
      <w:r>
        <w:t>2 Department of Chemistry, University of Latvia, Jelgavas iela 1, Riga, LV-1004, Latvia</w:t>
      </w:r>
    </w:p>
    <w:p w14:paraId="1E02801B" w14:textId="77777777" w:rsidR="001822C1" w:rsidRDefault="00000000">
      <w:r>
        <w:t xml:space="preserve">Corresponding authors: </w:t>
      </w:r>
      <w:hyperlink r:id="rId8">
        <w:r w:rsidR="001822C1">
          <w:rPr>
            <w:rStyle w:val="Hyperlink"/>
          </w:rPr>
          <w:t>vladislav.ivanistsev@lu.lv</w:t>
        </w:r>
      </w:hyperlink>
      <w:r>
        <w:t xml:space="preserve">; </w:t>
      </w:r>
      <w:hyperlink r:id="rId9">
        <w:r w:rsidR="001822C1">
          <w:rPr>
            <w:rStyle w:val="Hyperlink"/>
          </w:rPr>
          <w:t>nadezda.kongi@ut.ee</w:t>
        </w:r>
      </w:hyperlink>
    </w:p>
    <w:p w14:paraId="60F957DC" w14:textId="77777777" w:rsidR="001822C1" w:rsidRDefault="00000000">
      <w:pPr>
        <w:pStyle w:val="Heading1"/>
      </w:pPr>
      <w:r>
        <w:t>Abstract</w:t>
      </w:r>
    </w:p>
    <w:p w14:paraId="58AC7AC5" w14:textId="0CAEA544" w:rsidR="001822C1" w:rsidRDefault="00000000">
      <w:r>
        <w:t xml:space="preserve">Accelerating catalyst </w:t>
      </w:r>
      <w:r>
        <w:t xml:space="preserve">discovery </w:t>
      </w:r>
      <w:r>
        <w:t xml:space="preserve">with artificial intelligence (AI) means shortening the path from </w:t>
      </w:r>
      <w:r>
        <w:t xml:space="preserve">trustworthy evidence </w:t>
      </w:r>
      <w:r>
        <w:t xml:space="preserve">to reusable knowledge. We demonstrate this progression with </w:t>
      </w:r>
      <w:r>
        <w:t xml:space="preserve">the oxygen reduction reaction (ORR) on molecular dual-atom site catalysts (DASCs). We </w:t>
      </w:r>
      <w:r>
        <w:t xml:space="preserve">used density functional theory (DFT) to calculate </w:t>
      </w:r>
      <w:r>
        <w:t xml:space="preserve">adsorption energetics </w:t>
      </w:r>
      <w:r>
        <w:t xml:space="preserve">for 88 molecular catalysts and </w:t>
      </w:r>
      <w:r>
        <w:t xml:space="preserve">identified </w:t>
      </w:r>
      <w:r>
        <w:t xml:space="preserve">three </w:t>
      </w:r>
      <w:r>
        <w:t xml:space="preserve">structures with calculated </w:t>
      </w:r>
      <w:r>
        <w:t xml:space="preserve">ORR </w:t>
      </w:r>
      <w:r>
        <w:t xml:space="preserve">overpotentials of 0.34, 0.39, and 0.41 </w:t>
      </w:r>
      <w:r>
        <w:t xml:space="preserve">V. Machine learning (ML) ridge </w:t>
      </w:r>
      <w:r>
        <w:t xml:space="preserve">regression </w:t>
      </w:r>
      <w:r>
        <w:t xml:space="preserve">extended the </w:t>
      </w:r>
      <w:r>
        <w:t xml:space="preserve">analysis </w:t>
      </w:r>
      <w:r>
        <w:t xml:space="preserve">to 1176 optimized catalysts. The final screen retained 2021 catalyst </w:t>
      </w:r>
      <w:r>
        <w:t xml:space="preserve">and </w:t>
      </w:r>
      <w:r>
        <w:t xml:space="preserve">adsorption center combinations across 1156 catalysts and concentrated the lowest predicted overpotentials at Fe adsorption centers, with </w:t>
      </w:r>
      <w:r>
        <w:rPr/>
        <w:t xml:space="preserve">S</w:t>
      </w:r>
      <w:r>
        <w:t xml:space="preserve"> bridge atoms favored and B1 diamine a weaker preference. </w:t>
      </w:r>
      <w:r>
        <w:t xml:space="preserve">We </w:t>
      </w:r>
      <w:r>
        <w:t xml:space="preserve">stored the structures and results in machine readable formats designed for findable, accessible, interoperable, and reusable (FAIR) release. A human-guided large language model (LLM) procedure </w:t>
      </w:r>
      <w:r>
        <w:t xml:space="preserve">then </w:t>
      </w:r>
      <w:r>
        <w:t xml:space="preserve">generated </w:t>
      </w:r>
      <w:r>
        <w:t xml:space="preserve">the complete article from </w:t>
      </w:r>
      <w:r>
        <w:t xml:space="preserve">the </w:t>
      </w:r>
      <w:r>
        <w:t xml:space="preserve">verified calculations, predictions, literature, figures, and </w:t>
      </w:r>
      <w:r>
        <w:t xml:space="preserve">writing </w:t>
      </w:r>
      <w:r>
        <w:t xml:space="preserve">instructions. We chose the </w:t>
      </w:r>
      <w:r>
        <w:t xml:space="preserve">questions and methods, interpreted </w:t>
      </w:r>
      <w:r>
        <w:t xml:space="preserve">the </w:t>
      </w:r>
      <w:r>
        <w:t xml:space="preserve">results, </w:t>
      </w:r>
      <w:r>
        <w:t xml:space="preserve">and verified the manuscript. </w:t>
      </w:r>
      <w:r>
        <w:t xml:space="preserve">The article itself </w:t>
      </w:r>
      <w:r>
        <w:t xml:space="preserve">shows how </w:t>
      </w:r>
      <w:r>
        <w:t xml:space="preserve">accelerating catalyst discovery with AI </w:t>
      </w:r>
      <w:r>
        <w:t xml:space="preserve">can </w:t>
      </w:r>
      <w:r>
        <w:t xml:space="preserve">connect rigorous science, FAIR data, </w:t>
      </w:r>
      <w:r>
        <w:t xml:space="preserve">and </w:t>
      </w:r>
      <w:r>
        <w:t xml:space="preserve">rapid communication.</w:t>
      </w:r>
    </w:p>
    <w:p w14:paraId="6BEECE53" w14:textId="77777777" w:rsidR="001822C1" w:rsidRDefault="00000000">
      <w:r>
        <w:t>Keywords: AI; DFT; ML; LLM; oxygen reduction reaction; molecular dual-atom site catalysts</w:t>
      </w:r>
    </w:p>
    <w:p w14:paraId="436E4289" w14:textId="77777777" w:rsidR="001822C1" w:rsidRDefault="00000000">
      <w:pPr>
        <w:pStyle w:val="Heading1"/>
      </w:pPr>
      <w:r>
        <w:t>1. Introduction</w:t>
      </w:r>
    </w:p>
    <w:p w14:paraId="77FB4953" w14:textId="308F1AAF" w:rsidR="001822C1" w:rsidRDefault="00000000">
      <w:r>
        <w:t xml:space="preserve">Accelerating catalyst discovery </w:t>
      </w:r>
      <w:r>
        <w:t xml:space="preserve">with artificial intelligence (AI) means shortening the path from trustworthy evidence to reusable knowledge. Density functional theory (DFT) establishes atomistic thermodynamic evidence, machine learning (ML) expands </w:t>
      </w:r>
      <w:r>
        <w:t xml:space="preserve">candidate </w:t>
      </w:r>
      <w:r>
        <w:t xml:space="preserve">screening, and findable, accessible, interoperable, and reusable (FAIR) data allow </w:t>
      </w:r>
      <w:r>
        <w:t xml:space="preserve">the </w:t>
      </w:r>
      <w:r>
        <w:t xml:space="preserve">results </w:t>
      </w:r>
      <w:r>
        <w:t xml:space="preserve">to </w:t>
      </w:r>
      <w:r>
        <w:t xml:space="preserve">answer questions beyond the first article. Scientific communication closes this path by making the </w:t>
      </w:r>
      <w:r>
        <w:t xml:space="preserve">evidence </w:t>
      </w:r>
      <w:r>
        <w:t xml:space="preserve">understandable </w:t>
      </w:r>
      <w:r>
        <w:t xml:space="preserve">and </w:t>
      </w:r>
      <w:r>
        <w:t xml:space="preserve">exploitable. We </w:t>
      </w:r>
      <w:r>
        <w:t xml:space="preserve">ask whether </w:t>
      </w:r>
      <w:r>
        <w:t xml:space="preserve">a carefully guided large language model (LLM) </w:t>
      </w:r>
      <w:r>
        <w:t xml:space="preserve">can carry </w:t>
      </w:r>
      <w:r>
        <w:t xml:space="preserve">that </w:t>
      </w:r>
      <w:r>
        <w:t xml:space="preserve">final stage.</w:t>
      </w:r>
    </w:p>
    <w:p w14:paraId="7E38E0E5" w14:textId="481C3A39" w:rsidR="001822C1" w:rsidRDefault="00000000">
      <w:r>
        <w:t xml:space="preserve">Independent analyses place chemistry publication timelines at several months after </w:t>
      </w:r>
      <w:r>
        <w:t xml:space="preserve">submission. Reported </w:t>
      </w:r>
      <w:r>
        <w:t xml:space="preserve">averages </w:t>
      </w:r>
      <w:r>
        <w:t xml:space="preserve">reach </w:t>
      </w:r>
      <w:r>
        <w:t xml:space="preserve">approximately nine months across a journal </w:t>
      </w:r>
      <w:r>
        <w:t xml:space="preserve">sample, while </w:t>
      </w:r>
      <w:r>
        <w:t xml:space="preserve">chemistry articles on the PLOS platform </w:t>
      </w:r>
      <w:r>
        <w:t xml:space="preserve">had a median submission to publication interval of 154 days </w:t>
      </w:r>
      <w:r>
        <w:t xml:space="preserve">[</w:t>
      </w:r>
      <w:hyperlink r:id="rId61">
        <w:r>
          <w:rPr>
            <w:rStyle w:val="Hyperlink"/>
          </w:rPr>
          <w:t xml:space="preserve">10.1016/j.joi.2013.09.001</w:t>
        </w:r>
      </w:hyperlink>
      <w:r>
        <w:t xml:space="preserve">; </w:t>
      </w:r>
      <w:hyperlink r:id="rId11">
        <w:r>
          <w:rPr>
            <w:rStyle w:val="Hyperlink"/>
          </w:rPr>
          <w:t xml:space="preserve">10.1007/s11192-023-04640-6</w:t>
        </w:r>
      </w:hyperlink>
      <w:r>
        <w:t xml:space="preserve">]</w:t>
      </w:r>
      <w:r>
        <w:t xml:space="preserve">. </w:t>
      </w:r>
      <w:r>
        <w:t xml:space="preserve">These estimates omit preparation before </w:t>
      </w:r>
      <w:r>
        <w:t xml:space="preserve">the </w:t>
      </w:r>
      <w:r>
        <w:t xml:space="preserve">first submission and rewriting after rejection. Manuscript preparation therefore adds </w:t>
      </w:r>
      <w:r>
        <w:t xml:space="preserve">a </w:t>
      </w:r>
      <w:r>
        <w:t xml:space="preserve">separate delay between a completed study and the point at which other researchers </w:t>
      </w:r>
      <w:r>
        <w:t xml:space="preserve">can </w:t>
      </w:r>
      <w:r>
        <w:t xml:space="preserve">use it.</w:t>
      </w:r>
    </w:p>
    <w:p w14:paraId="6718B92F" w14:textId="68F3D966" w:rsidR="001822C1" w:rsidRDefault="00000000">
      <w:r>
        <w:t xml:space="preserve">Scientific publishing often treats </w:t>
      </w:r>
      <w:r>
        <w:t xml:space="preserve">a coherent story </w:t>
      </w:r>
      <w:r>
        <w:t xml:space="preserve">as the organizing principle of </w:t>
      </w:r>
      <w:r>
        <w:t xml:space="preserve">a </w:t>
      </w:r>
      <w:r>
        <w:t xml:space="preserve">paper, </w:t>
      </w:r>
      <w:r>
        <w:t xml:space="preserve">and </w:t>
      </w:r>
      <w:r>
        <w:t xml:space="preserve">editors give carefully selected figures a central role in carrying </w:t>
      </w:r>
      <w:r>
        <w:t xml:space="preserve">that </w:t>
      </w:r>
      <w:r>
        <w:t xml:space="preserve">story </w:t>
      </w:r>
      <w:r>
        <w:t xml:space="preserve">[</w:t>
      </w:r>
      <w:hyperlink r:id="rId47">
        <w:r>
          <w:rPr>
            <w:rStyle w:val="Hyperlink"/>
          </w:rPr>
          <w:t xml:space="preserve">10.1038/nphys724</w:t>
        </w:r>
      </w:hyperlink>
      <w:r>
        <w:t xml:space="preserve">; </w:t>
      </w:r>
      <w:hyperlink r:id="rId46">
        <w:r>
          <w:rPr>
            <w:rStyle w:val="Hyperlink"/>
          </w:rPr>
          <w:t xml:space="preserve">10.1021/acsenergylett.8b02322</w:t>
        </w:r>
      </w:hyperlink>
      <w:r>
        <w:t xml:space="preserve">; </w:t>
      </w:r>
      <w:hyperlink r:id="rId14">
        <w:r>
          <w:rPr>
            <w:rStyle w:val="Hyperlink"/>
          </w:rPr>
          <w:t xml:space="preserve">10.1021/acsenergylett.1c02401</w:t>
        </w:r>
      </w:hyperlink>
      <w:r>
        <w:t xml:space="preserve">; </w:t>
      </w:r>
      <w:hyperlink r:id="rId15">
        <w:r>
          <w:rPr>
            <w:rStyle w:val="Hyperlink"/>
          </w:rPr>
          <w:t xml:space="preserve">10.1038/s41551-018-0202-5</w:t>
        </w:r>
      </w:hyperlink>
      <w:r>
        <w:t xml:space="preserve">]</w:t>
      </w:r>
      <w:r>
        <w:t xml:space="preserve">. </w:t>
      </w:r>
      <w:r>
        <w:t xml:space="preserve">Clear writing serves science. Yet scientific value resides in verifiable evidence, sound methods, and reasoning that survives inspection, rather than in </w:t>
      </w:r>
      <w:r>
        <w:t xml:space="preserve">the </w:t>
      </w:r>
      <w:r>
        <w:t xml:space="preserve">author's writing skill alone. </w:t>
      </w:r>
      <w:r>
        <w:t xml:space="preserve">Our thesis is </w:t>
      </w:r>
      <w:r>
        <w:t xml:space="preserve">direct: a guided </w:t>
      </w:r>
      <w:r>
        <w:t xml:space="preserve">LLM can </w:t>
      </w:r>
      <w:r>
        <w:t xml:space="preserve">compose </w:t>
      </w:r>
      <w:r>
        <w:t xml:space="preserve">the </w:t>
      </w:r>
      <w:r>
        <w:t xml:space="preserve">story </w:t>
      </w:r>
      <w:r>
        <w:t xml:space="preserve">when </w:t>
      </w:r>
      <w:r>
        <w:t xml:space="preserve">researchers make the evidence </w:t>
      </w:r>
      <w:r>
        <w:t xml:space="preserve">and </w:t>
      </w:r>
      <w:r>
        <w:t xml:space="preserve">its </w:t>
      </w:r>
      <w:r>
        <w:t xml:space="preserve">limits explicit. </w:t>
      </w:r>
      <w:r>
        <w:t xml:space="preserve">The story </w:t>
      </w:r>
      <w:r>
        <w:t xml:space="preserve">must answer to </w:t>
      </w:r>
      <w:r>
        <w:t xml:space="preserve">the </w:t>
      </w:r>
      <w:r>
        <w:t xml:space="preserve">data.</w:t>
      </w:r>
    </w:p>
    <w:p w14:paraId="3A8533FD" w14:textId="1423C878" w:rsidR="001822C1" w:rsidRDefault="00392A77">
      <w:r>
        <w:t xml:space="preserve">No </w:t>
      </w:r>
      <w:r>
        <w:t xml:space="preserve">research </w:t>
      </w:r>
      <w:r>
        <w:t xml:space="preserve">group can </w:t>
      </w:r>
      <w:r>
        <w:t xml:space="preserve">anticipate </w:t>
      </w:r>
      <w:r>
        <w:t xml:space="preserve">every reaction, descriptor, or comparison that its catalyst data may later support. </w:t>
      </w:r>
      <w:r>
        <w:t xml:space="preserve">FAIR </w:t>
      </w:r>
      <w:r>
        <w:t xml:space="preserve">records </w:t>
      </w:r>
      <w:r>
        <w:t xml:space="preserve">let other </w:t>
      </w:r>
      <w:r>
        <w:t xml:space="preserve">researchers </w:t>
      </w:r>
      <w:r>
        <w:t xml:space="preserve">combine results, test alternative </w:t>
      </w:r>
      <w:r>
        <w:t xml:space="preserve">interpretations, </w:t>
      </w:r>
      <w:r>
        <w:t xml:space="preserve">and pursue questions beyond </w:t>
      </w:r>
      <w:r>
        <w:t xml:space="preserve">the </w:t>
      </w:r>
      <w:r>
        <w:t xml:space="preserve">original </w:t>
      </w:r>
      <w:r>
        <w:t xml:space="preserve">study </w:t>
      </w:r>
      <w:r>
        <w:t xml:space="preserve">[</w:t>
      </w:r>
      <w:hyperlink r:id="rId20">
        <w:r>
          <w:rPr>
            <w:rStyle w:val="Hyperlink"/>
          </w:rPr>
          <w:t xml:space="preserve">10.1038/sdata.2016.18</w:t>
        </w:r>
      </w:hyperlink>
      <w:r>
        <w:t xml:space="preserve">]</w:t>
      </w:r>
      <w:r>
        <w:t xml:space="preserve">. </w:t>
      </w:r>
      <w:r>
        <w:t xml:space="preserve">A </w:t>
      </w:r>
      <w:r>
        <w:t xml:space="preserve">paper </w:t>
      </w:r>
      <w:r>
        <w:t xml:space="preserve">offers a finite scientific account; </w:t>
      </w:r>
      <w:r>
        <w:t xml:space="preserve">a structured dataset can support many. We therefore </w:t>
      </w:r>
      <w:r>
        <w:t xml:space="preserve">place </w:t>
      </w:r>
      <w:r>
        <w:t xml:space="preserve">FAIR data </w:t>
      </w:r>
      <w:r>
        <w:t xml:space="preserve">before narrative construction: </w:t>
      </w:r>
      <w:r>
        <w:t xml:space="preserve">the </w:t>
      </w:r>
      <w:r>
        <w:t xml:space="preserve">data preserve the science, and the article explains one supported reading of it.</w:t>
      </w:r>
    </w:p>
    <w:p w14:paraId="23284AAD" w14:textId="1124C472" w:rsidR="001822C1" w:rsidRDefault="00000000">
      <w:r>
        <w:t xml:space="preserve">LLMs can </w:t>
      </w:r>
      <w:r>
        <w:t xml:space="preserve">reduce the effort required to turn such evidence into a readable article, </w:t>
      </w:r>
      <w:r>
        <w:t xml:space="preserve">provided that </w:t>
      </w:r>
      <w:r>
        <w:t xml:space="preserve">every sentence </w:t>
      </w:r>
      <w:r>
        <w:t xml:space="preserve">remains </w:t>
      </w:r>
      <w:r>
        <w:t xml:space="preserve">traceable </w:t>
      </w:r>
      <w:r>
        <w:t xml:space="preserve">to </w:t>
      </w:r>
      <w:r>
        <w:t xml:space="preserve">its source. </w:t>
      </w:r>
      <w:r>
        <w:t xml:space="preserve">Scientific stories can conceal inconvenient observations when coherence becomes the goal </w:t>
      </w:r>
      <w:r>
        <w:t xml:space="preserve">[</w:t>
      </w:r>
      <w:hyperlink r:id="rId21">
        <w:r>
          <w:rPr>
            <w:rStyle w:val="Hyperlink"/>
          </w:rPr>
          <w:t xml:space="preserve">10.1038/nmeth.2726</w:t>
        </w:r>
      </w:hyperlink>
      <w:r>
        <w:t xml:space="preserve">]</w:t>
      </w:r>
      <w:r>
        <w:t xml:space="preserve">, </w:t>
      </w:r>
      <w:r>
        <w:t xml:space="preserve">and vocabulary </w:t>
      </w:r>
      <w:r>
        <w:t xml:space="preserve">changes in published </w:t>
      </w:r>
      <w:r>
        <w:t xml:space="preserve">abstracts </w:t>
      </w:r>
      <w:r>
        <w:t xml:space="preserve">show that </w:t>
      </w:r>
      <w:r>
        <w:t xml:space="preserve">LLM assisted </w:t>
      </w:r>
      <w:r>
        <w:t xml:space="preserve">writing has entered routine use </w:t>
      </w:r>
      <w:r>
        <w:t xml:space="preserve">[</w:t>
      </w:r>
      <w:hyperlink r:id="rId22">
        <w:r>
          <w:rPr>
            <w:rStyle w:val="Hyperlink"/>
          </w:rPr>
          <w:t xml:space="preserve">10.1126/sciadv.adt3813</w:t>
        </w:r>
      </w:hyperlink>
      <w:r>
        <w:t xml:space="preserve">]</w:t>
      </w:r>
      <w:r>
        <w:t xml:space="preserve">. Ifargan and colleagues generated </w:t>
      </w:r>
      <w:r>
        <w:t xml:space="preserve">human verifiable </w:t>
      </w:r>
      <w:r>
        <w:t xml:space="preserve">papers from annotated </w:t>
      </w:r>
      <w:r>
        <w:t xml:space="preserve">data with interacting LLM agents </w:t>
      </w:r>
      <w:r>
        <w:t xml:space="preserve">[</w:t>
      </w:r>
      <w:hyperlink r:id="rId30">
        <w:r>
          <w:rPr>
            <w:rStyle w:val="Hyperlink"/>
          </w:rPr>
          <w:t xml:space="preserve">10.1056/aioa2400555</w:t>
        </w:r>
      </w:hyperlink>
      <w:r>
        <w:t xml:space="preserve">]</w:t>
      </w:r>
      <w:r>
        <w:t xml:space="preserve">. </w:t>
      </w:r>
      <w:r>
        <w:t xml:space="preserve">Their results also show why complex research benefits from human direction. </w:t>
      </w:r>
      <w:r>
        <w:t xml:space="preserve">We extend </w:t>
      </w:r>
      <w:r>
        <w:t xml:space="preserve">that </w:t>
      </w:r>
      <w:r>
        <w:t xml:space="preserve">work by </w:t>
      </w:r>
      <w:r>
        <w:t xml:space="preserve">generating </w:t>
      </w:r>
      <w:r>
        <w:t xml:space="preserve">a complete article from verified </w:t>
      </w:r>
      <w:r>
        <w:t xml:space="preserve">electrochemical calculations, model predictions, figures, literature, and project rules.</w:t>
      </w:r>
    </w:p>
    <w:p w14:paraId="5BC5998D" w14:textId="162CA7F0" w:rsidR="001822C1" w:rsidRDefault="00000000">
      <w:r>
        <w:t xml:space="preserve">Our </w:t>
      </w:r>
      <w:r>
        <w:t xml:space="preserve">molecular DASC case </w:t>
      </w:r>
      <w:r>
        <w:t xml:space="preserve">study links three </w:t>
      </w:r>
      <w:r>
        <w:t xml:space="preserve">completed </w:t>
      </w:r>
      <w:r>
        <w:t xml:space="preserve">stages. We first calculated ORR adsorption energetics for 88 molecular </w:t>
      </w:r>
      <w:r>
        <w:t xml:space="preserve">catalysts </w:t>
      </w:r>
      <w:r>
        <w:t xml:space="preserve">with DFT. We then </w:t>
      </w:r>
      <w:r>
        <w:t xml:space="preserve">trained adsorbate specific ridge </w:t>
      </w:r>
      <w:r>
        <w:t xml:space="preserve">regression </w:t>
      </w:r>
      <w:r>
        <w:t xml:space="preserve">models on </w:t>
      </w:r>
      <w:r>
        <w:t xml:space="preserve">the </w:t>
      </w:r>
      <w:r>
        <w:t xml:space="preserve">DFT results and screened 1176 optimized </w:t>
      </w:r>
      <w:r>
        <w:t xml:space="preserve">molecular </w:t>
      </w:r>
      <w:r>
        <w:t xml:space="preserve">structures with ML. </w:t>
      </w:r>
      <w:r>
        <w:t xml:space="preserve">Finally, </w:t>
      </w:r>
      <w:r>
        <w:t xml:space="preserve">a human-guided LLM procedure </w:t>
      </w:r>
      <w:r>
        <w:t xml:space="preserve">prepared </w:t>
      </w:r>
      <w:r>
        <w:t xml:space="preserve">the complete scientific </w:t>
      </w:r>
      <w:r>
        <w:t xml:space="preserve">article. </w:t>
      </w:r>
      <w:hyperlink w:anchor="Figure_1">
        <w:r>
          <w:rPr>
            <w:rStyle w:val="Hyperlink"/>
          </w:rPr>
          <w:t xml:space="preserve">Figure 1</w:t>
        </w:r>
      </w:hyperlink>
      <w:r>
        <w:t xml:space="preserve"> defines the molecular </w:t>
      </w:r>
      <w:r>
        <w:t xml:space="preserve">design variables, </w:t>
      </w:r>
      <w:hyperlink w:anchor="Figure_2">
        <w:r>
          <w:rPr>
            <w:rStyle w:val="Hyperlink"/>
          </w:rPr>
          <w:t xml:space="preserve">Figure 2</w:t>
        </w:r>
      </w:hyperlink>
      <w:r>
        <w:t xml:space="preserve"> presents the DFT scaling relations and CHE </w:t>
      </w:r>
      <w:r>
        <w:t xml:space="preserve">volcano, and </w:t>
      </w:r>
      <w:hyperlink w:anchor="Figure_3">
        <w:r>
          <w:rPr>
            <w:rStyle w:val="Hyperlink"/>
          </w:rPr>
          <w:t xml:space="preserve">Figure 3</w:t>
        </w:r>
      </w:hyperlink>
      <w:r>
        <w:t xml:space="preserve"> presents the </w:t>
      </w:r>
      <w:r>
        <w:t xml:space="preserve">ML predicted </w:t>
      </w:r>
      <w:r>
        <w:t xml:space="preserve">relations and </w:t>
      </w:r>
      <w:r>
        <w:t xml:space="preserve">activity across </w:t>
      </w:r>
      <w:r>
        <w:t xml:space="preserve">the </w:t>
      </w:r>
      <w:r>
        <w:t xml:space="preserve">larger library. Together, these stages demonstrate how accelerating catalyst discovery with AI can move from calculation, through screening, to reusable scientific communication.</w:t>
      </w:r>
    </w:p>
    <w:p w14:paraId="46A093BC" w14:textId="77777777" w:rsidR="001822C1" w:rsidRDefault="00000000">
      <w:pPr>
        <w:pStyle w:val="Heading1"/>
      </w:pPr>
      <w:r>
        <w:t>2. Computational methods</w:t>
      </w:r>
    </w:p>
    <w:p w14:paraId="19506126" w14:textId="77777777" w:rsidR="001822C1" w:rsidRDefault="00000000">
      <w:pPr>
        <w:pStyle w:val="Heading2"/>
      </w:pPr>
      <w:r>
        <w:t>2.1. Catalyst structures</w:t>
      </w:r>
    </w:p>
    <w:p w14:paraId="3BABBE14" w14:textId="37E6C206" w:rsidR="001822C1" w:rsidRDefault="00000000">
      <w:r>
        <w:t xml:space="preserve">The molecular catalysts were assembled from the components shown in </w:t>
      </w:r>
      <w:hyperlink w:anchor="Figure_1">
        <w:r>
          <w:rPr>
            <w:rStyle w:val="Hyperlink"/>
          </w:rPr>
          <w:t xml:space="preserve">Figure 1</w:t>
        </w:r>
      </w:hyperlink>
      <w:r>
        <w:t xml:space="preserve">. The notation in the data article </w:t>
      </w:r>
      <w:r>
        <w:t xml:space="preserve">[</w:t>
      </w:r>
      <w:hyperlink r:id="rId24">
        <w:r>
          <w:rPr>
            <w:rStyle w:val="Hyperlink"/>
          </w:rPr>
          <w:t xml:space="preserve">10.1016/j.dib.2026.112806</w:t>
        </w:r>
      </w:hyperlink>
      <w:r>
        <w:t xml:space="preserve">]</w:t>
      </w:r>
      <w:r>
        <w:t xml:space="preserve"> identifies A2 as the fixed dialdehyde and B1 and B2 as the two diamines. Each molecule contains </w:t>
      </w:r>
      <w:r>
        <w:t xml:space="preserve">one </w:t>
      </w:r>
      <w:r>
        <w:t xml:space="preserve">dual-atom site with two metal-atom adsorption centers. The </w:t>
      </w:r>
      <w:r>
        <w:t xml:space="preserve">two </w:t>
      </w:r>
      <w:r>
        <w:t xml:space="preserve">metal </w:t>
      </w:r>
      <w:r>
        <w:t xml:space="preserve">positions </w:t>
      </w:r>
      <w:r>
        <w:t xml:space="preserve">were </w:t>
      </w:r>
      <w:r>
        <w:t xml:space="preserve">occupied by </w:t>
      </w:r>
      <w:r>
        <w:t xml:space="preserve">Cr, Mn, Fe, Co, Ni, </w:t>
      </w:r>
      <w:r>
        <w:t xml:space="preserve">or </w:t>
      </w:r>
      <w:r>
        <w:t xml:space="preserve">Cu, and </w:t>
      </w:r>
      <w:r>
        <w:t xml:space="preserve">each of </w:t>
      </w:r>
      <w:r>
        <w:t xml:space="preserve">the </w:t>
      </w:r>
      <w:r>
        <w:t xml:space="preserve">two </w:t>
      </w:r>
      <w:r>
        <w:t xml:space="preserve">bridge </w:t>
      </w:r>
      <w:r>
        <w:t xml:space="preserve">positions contained </w:t>
      </w:r>
      <w:r>
        <w:t xml:space="preserve">N, O, or </w:t>
      </w:r>
      <w:r>
        <w:rPr/>
        <w:t xml:space="preserve">S</w:t>
      </w:r>
      <w:r>
        <w:t xml:space="preserve">. </w:t>
      </w:r>
      <w:r>
        <w:t xml:space="preserve">Every clean </w:t>
      </w:r>
      <w:r>
        <w:t xml:space="preserve">and adsorbate </w:t>
      </w:r>
      <w:r>
        <w:t xml:space="preserve">structure </w:t>
      </w:r>
      <w:r>
        <w:t xml:space="preserve">in the DFT analysis </w:t>
      </w:r>
      <w:r>
        <w:t xml:space="preserve">was </w:t>
      </w:r>
      <w:r>
        <w:t xml:space="preserve">fully optimized. The </w:t>
      </w:r>
      <w:r>
        <w:t xml:space="preserve">fixed </w:t>
      </w:r>
      <w:r>
        <w:t xml:space="preserve">clean database contained 88 molecular catalysts.</w:t>
      </w:r>
    </w:p>
    <w:p w14:paraId="46A7E5D9" w14:textId="7EF66B15" w:rsidR="001822C1" w:rsidRDefault="00000000">
      <w:r>
        <w:t>Each optimized structure and its energy were stored in an Atomic Simulation Environment (ASE) database with the catalyst name, metal identities, ligand components, and charge metadata. The `ads_site` field identifies the metal-atom adsorption center occupied by each intermediate.</w:t>
      </w:r>
    </w:p>
    <w:p w14:paraId="322994D8" w14:textId="77777777" w:rsidR="001822C1" w:rsidRDefault="00000000">
      <w:pPr>
        <w:pStyle w:val="Heading2"/>
      </w:pPr>
      <w:r>
        <w:t>2.2. DFT calculations and adsorption structures</w:t>
      </w:r>
    </w:p>
    <w:p w14:paraId="003FE23D" w14:textId="26802C8B" w:rsidR="001822C1" w:rsidRDefault="00000000">
      <w:r>
        <w:t xml:space="preserve">Spin polarized </w:t>
      </w:r>
      <w:r>
        <w:t xml:space="preserve">DFT calculations were performed with GPAW 25.7 and ASE 3.28.0 software </w:t>
      </w:r>
      <w:r>
        <w:t xml:space="preserve">[</w:t>
      </w:r>
      <w:hyperlink r:id="rId25">
        <w:r>
          <w:rPr>
            <w:rStyle w:val="Hyperlink"/>
          </w:rPr>
          <w:t xml:space="preserve">10.1063/5.0182685</w:t>
        </w:r>
      </w:hyperlink>
      <w:r>
        <w:t xml:space="preserve">; </w:t>
      </w:r>
      <w:hyperlink r:id="rId26">
        <w:r>
          <w:rPr>
            <w:rStyle w:val="Hyperlink"/>
          </w:rPr>
          <w:t xml:space="preserve">10.1088/1361-648X/aa680e</w:t>
        </w:r>
      </w:hyperlink>
      <w:r>
        <w:t xml:space="preserve">]</w:t>
      </w:r>
      <w:r>
        <w:t xml:space="preserve">. The projector augmented wave method, </w:t>
      </w:r>
      <w:r>
        <w:t xml:space="preserve">revised Perdew–Burke–Ernzerhof functional, and </w:t>
      </w:r>
      <w:r>
        <w:t xml:space="preserve">D4 dispersion correction were used </w:t>
      </w:r>
      <w:r>
        <w:t xml:space="preserve">[</w:t>
      </w:r>
      <w:hyperlink r:id="rId27">
        <w:r>
          <w:rPr>
            <w:rStyle w:val="Hyperlink"/>
          </w:rPr>
          <w:t xml:space="preserve">10.1063/1.5090222</w:t>
        </w:r>
      </w:hyperlink>
      <w:r>
        <w:t xml:space="preserve">]</w:t>
      </w:r>
      <w:r>
        <w:t xml:space="preserve">. A </w:t>
      </w:r>
      <w:r>
        <w:t xml:space="preserve">plane wave </w:t>
      </w:r>
      <w:r>
        <w:t xml:space="preserve">cutoff of 550 eV, </w:t>
      </w:r>
      <w:r>
        <w:t xml:space="preserve">real space </w:t>
      </w:r>
      <w:r>
        <w:t xml:space="preserve">grid spacing of 0.16 Å, and 6.00 Å of vacuum were </w:t>
      </w:r>
      <w:r>
        <w:t xml:space="preserve">applied. Each </w:t>
      </w:r>
      <w:r>
        <w:t xml:space="preserve">atomic structure was optimized until the maximum force fell below 0.05 eV </w:t>
      </w:r>
      <w:r>
        <w:t xml:space="preserve">Å⁻¹, and only calculations that converged with these parameters entered the fixed DFT set. </w:t>
      </w:r>
      <w:r>
        <w:t xml:space="preserve">The </w:t>
      </w:r>
      <w:r>
        <w:t xml:space="preserve">setup </w:t>
      </w:r>
      <w:r>
        <w:t xml:space="preserve">follows earlier work on </w:t>
      </w:r>
      <w:r>
        <w:t xml:space="preserve">related molecular catalysts </w:t>
      </w:r>
      <w:r>
        <w:t xml:space="preserve">[</w:t>
      </w:r>
      <w:hyperlink r:id="rId45">
        <w:r>
          <w:rPr>
            <w:rStyle w:val="Hyperlink"/>
          </w:rPr>
          <w:t xml:space="preserve">10.26434/chemrxiv.15001712/v1</w:t>
        </w:r>
      </w:hyperlink>
      <w:r>
        <w:t xml:space="preserve">]</w:t>
      </w:r>
      <w:r>
        <w:t xml:space="preserve">. The total charge was set to +2 for every modeled catalyst, including </w:t>
      </w:r>
      <w:r>
        <w:t xml:space="preserve">N bridged </w:t>
      </w:r>
      <w:r>
        <w:t xml:space="preserve">structures. </w:t>
      </w:r>
      <w:r>
        <w:t xml:space="preserve">This consistent cohort represents one </w:t>
      </w:r>
      <w:r>
        <w:t xml:space="preserve">charge assignment and the spin states </w:t>
      </w:r>
      <w:r>
        <w:t xml:space="preserve">reached by </w:t>
      </w:r>
      <w:r>
        <w:t xml:space="preserve">the </w:t>
      </w:r>
      <w:r>
        <w:t xml:space="preserve">spin polarized optimizations. A broader electronic structure survey should compare alternative charges, mixed oxidation states, and spin states.</w:t>
      </w:r>
    </w:p>
    <w:p w14:paraId="2DD6E161" w14:textId="77777777" w:rsidR="001822C1" w:rsidRDefault="001822C1">
      <w:pPr>
        <w:pStyle w:val="Heading2"/>
      </w:pPr>
    </w:p>
    <w:p w14:paraId="279107F4" w14:textId="025D4954" w:rsidR="001822C1" w:rsidRDefault="00000000">
      <w:r>
        <w:t>O, OH, and OOH were placed at either metal-atom adsorption center in the dual-atom site, and each structure was fully optimized. Gas phase H₂ and H₂O reference structures were calculated with the same settings. Total energies were matched by catalyst name and `ads_site`, so each reaction pathway contains values for the same molecular structure and adsorption center.</w:t>
      </w:r>
    </w:p>
    <w:p w14:paraId="01EAE8F9" w14:textId="64CBFE69" w:rsidR="001822C1" w:rsidRDefault="00000000">
      <w:r>
        <w:t>Adsorption energies for O, OH, and OOH were calculated from the total energies of the corresponding adsorbed structure, clean catalyst, H₂, and H₂O:</w:t>
      </w:r>
    </w:p>
    <w:p w14:paraId="2BF836F4"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(1)</w:t>
      </w:r>
    </w:p>
    <w:p w14:paraId="6C6105B5" w14:textId="77777777" w:rsidR="001822C1" w:rsidRDefault="00000000">
      <w:pPr>
        <w:tabs>
          <w:tab w:val="center" w:pos="4819"/>
          <w:tab w:val="right" w:pos="9638"/>
        </w:tabs>
        <w:jc w:val="left"/>
      </w:pPr>
      <w:r>
        <w:lastRenderedPageBreak/>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(2)</w:t>
      </w:r>
    </w:p>
    <w:p w14:paraId="6124E424"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(3)</w:t>
      </w:r>
    </w:p>
    <w:p w14:paraId="5F512ECA" w14:textId="2109B387" w:rsidR="001822C1" w:rsidRDefault="00000000">
      <w:r>
        <w:t>In Eqs. (1)–(3), the left side is the adsorption energy of the named intermediate. The terms on the right are the total energies of the adsorbed catalyst, clean catalyst, gas phase H₂, and gas phase H₂O; * identifies the selected adsorption center. The supplied adsorption free energies were used in the scaling and thermodynamic analyses.</w:t>
      </w:r>
    </w:p>
    <w:p w14:paraId="487CE2EF" w14:textId="77777777" w:rsidR="001822C1" w:rsidRDefault="00000000">
      <w:pPr>
        <w:pStyle w:val="Heading2"/>
      </w:pPr>
      <w:r>
        <w:t>2.3. Adsorption free energies and ORR thermodynamics</w:t>
      </w:r>
    </w:p>
    <w:p w14:paraId="7A1AC5B6" w14:textId="4A49BC3C" w:rsidR="001822C1" w:rsidRDefault="00000000">
      <w:r>
        <w:t>Adsorption energies were converted to adsorption free energies by adding zero point and entropic corrections:</w:t>
      </w:r>
    </w:p>
    <w:p w14:paraId="701FBD9E"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w:r>
        <w:tab/>
        <w:t>(4)</w:t>
      </w:r>
    </w:p>
    <w:p w14:paraId="0CBA42D3" w14:textId="09C723F0" w:rsidR="001822C1" w:rsidRDefault="00000000">
      <w:r>
        <w:t xml:space="preserve">In Eq. (4), </w:t>
      </w:r>
      <w:r>
        <w:rPr>
          <w:i/>
        </w:rPr>
        <w:t>X</w:t>
      </w:r>
      <w:r>
        <w:t xml:space="preserve"> denotes O, OH, or OOH; </w:t>
      </w:r>
      <w:r>
        <w:rPr>
          <w:i/>
        </w:rPr>
        <w:t>E</w:t>
      </w:r>
      <w:r>
        <w:t xml:space="preserve"> and </w:t>
      </w:r>
      <w:r>
        <w:rPr>
          <w:i/>
        </w:rPr>
        <w:t>G</w:t>
      </w:r>
      <w:r>
        <w:t xml:space="preserve"> denote electronic energy and Gibbs free energy; </w:t>
      </w:r>
      <w:r>
        <w:rPr>
          <w:i/>
        </w:rPr>
        <w:t>T</w:t>
      </w:r>
      <w:r>
        <w:t xml:space="preserve"> is temperature; </w:t>
      </w:r>
      <w:r>
        <w:rPr>
          <w:i/>
        </w:rPr>
        <w:t>S</w:t>
      </w:r>
      <w:r>
        <w:t xml:space="preserve"> is entropy; and ZP identifies the zero point contribution. The supplied adsorption free energies already include these corrections. The four reduction potentials for the associative four electron ORR pathway were evaluated with the computational hydrogen electrode (CHE) method [</w:t>
      </w:r>
      <w:hyperlink r:id="rId29">
        <w:r w:rsidR="001822C1">
          <w:rPr>
            <w:rStyle w:val="Hyperlink"/>
          </w:rPr>
          <w:t>10.1021/jp047349j</w:t>
        </w:r>
      </w:hyperlink>
      <w:r>
        <w:t>]:</w:t>
      </w:r>
    </w:p>
    <w:p w14:paraId="60A245D5" w14:textId="77777777" w:rsidR="001822C1" w:rsidRDefault="00000000">
      <w:pPr>
        <w:tabs>
          <w:tab w:val="center" w:pos="4819"/>
          <w:tab w:val="right" w:pos="9638"/>
        </w:tabs>
        <w:jc w:val="left"/>
      </w:pPr>
      <w:r>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w:r>
        <w:tab/>
        <w:t>(5)</w:t>
      </w:r>
    </w:p>
    <w:p w14:paraId="4C5DEA86" w14:textId="2B728699" w:rsidR="001822C1" w:rsidRDefault="00000000">
      <w:r>
        <w:t xml:space="preserve">Equation (5) defines the positive reduction potentials for the four steps O₂ to OOH, OOH to O, O to OH, and OH to H₂O; * identifies an adsorbed intermediate and </w:t>
      </w:r>
      <w:r>
        <w:rPr>
          <w:i/>
        </w:rPr>
        <w:t>e</w:t>
      </w:r>
      <w:r>
        <w:t xml:space="preserve"> is the elementary charge. The limiting potential is defined as the lowest of the four step potentials:</w:t>
      </w:r>
    </w:p>
    <w:p w14:paraId="49FAF0F8" w14:textId="77777777" w:rsidR="001822C1" w:rsidRDefault="00000000">
      <w:pPr>
        <w:tabs>
          <w:tab w:val="center" w:pos="4819"/>
          <w:tab w:val="right" w:pos="9638"/>
        </w:tabs>
        <w:jc w:val="left"/>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w:r>
        <w:tab/>
        <w:t>(6)</w:t>
      </w:r>
    </w:p>
    <w:p w14:paraId="3AFB2F37" w14:textId="413BF3C8" w:rsidR="001822C1" w:rsidRDefault="00000000">
      <w:r>
        <w:t>The symbol on the left of Eq. (6) denotes the limiting potential. The ORR overpotential was evaluated relative to the equilibrium potential of 1.23 V:</w:t>
      </w:r>
    </w:p>
    <w:p w14:paraId="514F11A5" w14:textId="77777777" w:rsidR="001822C1" w:rsidRDefault="00000000">
      <w:pPr>
        <w:tabs>
          <w:tab w:val="center" w:pos="4819"/>
          <w:tab w:val="right" w:pos="9638"/>
        </w:tabs>
        <w:jc w:val="left"/>
      </w:pPr>
      <w:r>
        <w:tab/>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ab/>
        <w:t>(7)</w:t>
      </w:r>
    </w:p>
    <w:p w14:paraId="6164B76A" w14:textId="1C784D21" w:rsidR="001822C1" w:rsidRDefault="00000000">
      <w:r>
        <w:t>Equation (7) defines the ORR overpotential. Chemical subscripts in Eqs. (5)–(7) identify the adsorbed intermediate or reaction quantity.</w:t>
      </w:r>
    </w:p>
    <w:p w14:paraId="6FDD3A7E" w14:textId="77777777" w:rsidR="001822C1" w:rsidRDefault="00000000">
      <w:pPr>
        <w:pStyle w:val="Heading2"/>
      </w:pPr>
      <w:r>
        <w:t>2.4. Scaling and thermodynamic activity analyses</w:t>
      </w:r>
    </w:p>
    <w:p w14:paraId="1519DD93" w14:textId="30BA05B8" w:rsidR="001822C1" w:rsidRDefault="00000000">
      <w:r>
        <w:t>The relations of O and OOH adsorption free energies to OH adsorption free energy were evaluated by ordinary least squares:</w:t>
      </w:r>
    </w:p>
    <w:p w14:paraId="1C56162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w:r>
        <w:tab/>
        <w:t>(8)</w:t>
      </w:r>
    </w:p>
    <w:p w14:paraId="2D9D00DB" w14:textId="48731DB2" w:rsidR="001822C1" w:rsidRDefault="00000000">
      <w:r>
        <w:t>In Eq. (8), α and β are the slope and intercept for the intermediate identified by the subscript. The fitted relations were propagated through the four ORR steps to obtain the scaling based activity curve in Figures 2 and 3. An ideal reference relation was defined with an OOH–OH free energy separation of 2.46 eV:</w:t>
      </w:r>
    </w:p>
    <w:p w14:paraId="7B36A2D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w:r>
        <w:tab/>
        <w:t>(9)</w:t>
      </w:r>
    </w:p>
    <w:p w14:paraId="7A128877" w14:textId="576CE212" w:rsidR="001822C1" w:rsidRDefault="00000000">
      <w:r>
        <w:t>In Eq. (9), OH removal defines the left branch and OOH formation defines the right branch. The branches meet at an OH adsorption free energy of 1.23 eV and zero overpotential. Catalyst activity was interpreted thermodynamically; kinetic activity also depends on activation barriers.</w:t>
      </w:r>
    </w:p>
    <w:p w14:paraId="340A466D" w14:textId="0729A962" w:rsidR="001822C1" w:rsidRDefault="00000000">
      <w:pPr>
        <w:pStyle w:val="Heading2"/>
      </w:pPr>
      <w:r>
        <w:lastRenderedPageBreak/>
        <w:t>2.5. Regression analysis and catalyst-family screening</w:t>
      </w:r>
    </w:p>
    <w:p w14:paraId="093C8D8E" w14:textId="45D1206C" w:rsidR="001822C1" w:rsidRDefault="00000000">
      <w:r>
        <w:t xml:space="preserve">The </w:t>
      </w:r>
      <w:r>
        <w:t xml:space="preserve">adsorption free energies from the fixed 88 catalyst </w:t>
      </w:r>
      <w:r>
        <w:t xml:space="preserve">DFT </w:t>
      </w:r>
      <w:r>
        <w:t xml:space="preserve">set were used to train separate ridge regression models </w:t>
      </w:r>
      <w:r>
        <w:t xml:space="preserve">for </w:t>
      </w:r>
      <w:r>
        <w:t xml:space="preserve">OH, O, and OOH. Descriptors of </w:t>
      </w:r>
      <w:r>
        <w:t xml:space="preserve">the </w:t>
      </w:r>
      <w:r>
        <w:t xml:space="preserve">clean catalysts represented the electron population, charge, spin, metal pair polarization, and ligand environment. Eight predictors were used for OH and O, and six were used for OOH. The </w:t>
      </w:r>
      <w:r>
        <w:t xml:space="preserve">supplied </w:t>
      </w:r>
      <w:r>
        <w:t xml:space="preserve">parameter tables retained </w:t>
      </w:r>
      <w:r>
        <w:t xml:space="preserve">the </w:t>
      </w:r>
      <w:r>
        <w:t xml:space="preserve">training medians, means, standard deviations, standardized coefficients, and ridge parameters. The ridge parameter was 0.10 </w:t>
      </w:r>
      <w:r>
        <w:t xml:space="preserve">for </w:t>
      </w:r>
      <w:r>
        <w:t xml:space="preserve">OH and 1.00 for O and OOH. </w:t>
      </w:r>
      <w:r>
        <w:t xml:space="preserve">The </w:t>
      </w:r>
      <w:r>
        <w:t xml:space="preserve">models were applied to a </w:t>
      </w:r>
      <w:r>
        <w:t xml:space="preserve">separate </w:t>
      </w:r>
      <w:r>
        <w:t xml:space="preserve">database </w:t>
      </w:r>
      <w:r>
        <w:t xml:space="preserve">of </w:t>
      </w:r>
      <w:r>
        <w:t xml:space="preserve">1176 optimized </w:t>
      </w:r>
      <w:r>
        <w:t xml:space="preserve">structures </w:t>
      </w:r>
      <w:r>
        <w:t xml:space="preserve">calculated with GPAW 25.7 and ASE 3.28.0 </w:t>
      </w:r>
      <w:r>
        <w:t xml:space="preserve">under </w:t>
      </w:r>
      <w:r>
        <w:t xml:space="preserve">the </w:t>
      </w:r>
      <w:r>
        <w:t xml:space="preserve">settings </w:t>
      </w:r>
      <w:r>
        <w:t xml:space="preserve">in Section </w:t>
      </w:r>
      <w:r>
        <w:t xml:space="preserve">2.2.</w:t>
      </w:r>
    </w:p>
    <w:p w14:paraId="730F3EC6" w14:textId="354191EE" w:rsidR="001822C1" w:rsidRDefault="00000000">
      <w:r>
        <w:t xml:space="preserve">The predicted </w:t>
      </w:r>
      <w:r>
        <w:t xml:space="preserve">OH, O, and OOH </w:t>
      </w:r>
      <w:r>
        <w:t xml:space="preserve">values were joined by catalyst name and `ads_site` before the CHE step potentials and overpotentials were </w:t>
      </w:r>
      <w:r>
        <w:t xml:space="preserve">evaluated. This produced 2080 complete catalyst and adsorption center combinations across all 1176 structures. </w:t>
      </w:r>
      <w:r>
        <w:t xml:space="preserve">The </w:t>
      </w:r>
      <w:hyperlink w:anchor="Figure_2">
        <w:r>
          <w:rPr>
            <w:rStyle w:val="Hyperlink"/>
          </w:rPr>
          <w:t xml:space="preserve">Figure 2</w:t>
        </w:r>
      </w:hyperlink>
      <w:r>
        <w:t xml:space="preserve"> </w:t>
      </w:r>
      <w:r>
        <w:t xml:space="preserve">energy filters </w:t>
      </w:r>
      <w:r>
        <w:t xml:space="preserve">retained 2021 combinations across 1156 catalysts </w:t>
      </w:r>
      <w:r>
        <w:t xml:space="preserve">for </w:t>
      </w:r>
      <w:hyperlink w:anchor="Figure_3">
        <w:r>
          <w:rPr>
            <w:rStyle w:val="Hyperlink"/>
          </w:rPr>
          <w:t xml:space="preserve">Figure 3</w:t>
        </w:r>
      </w:hyperlink>
      <w:r>
        <w:t xml:space="preserve">. For comparison of structural families, </w:t>
      </w:r>
      <w:r>
        <w:t xml:space="preserve">the </w:t>
      </w:r>
      <w:r>
        <w:t xml:space="preserve">most active pool in each </w:t>
      </w:r>
      <w:r>
        <w:t xml:space="preserve">DFT </w:t>
      </w:r>
      <w:r>
        <w:t xml:space="preserve">or ML dataset was defined as the lowest 10% of retained overpotentials, rounded upward </w:t>
      </w:r>
      <w:r>
        <w:t xml:space="preserve">to </w:t>
      </w:r>
      <w:r>
        <w:t xml:space="preserve">a whole catalyst </w:t>
      </w:r>
      <w:r>
        <w:t xml:space="preserve">and </w:t>
      </w:r>
      <w:r>
        <w:t xml:space="preserve">adsorption center combination.</w:t>
      </w:r>
    </w:p>
    <w:p w14:paraId="2AE828FE" w14:textId="03AB21A6" w:rsidR="001822C1" w:rsidRDefault="00000000">
      <w:pPr>
        <w:pStyle w:val="Heading2"/>
      </w:pPr>
      <w:r>
        <w:t>2.6. LLM manuscript generation</w:t>
      </w:r>
    </w:p>
    <w:p w14:paraId="277963E1" w14:textId="66984CF6" w:rsidR="001822C1" w:rsidRDefault="00000000">
      <w:r>
        <w:t xml:space="preserve">An LLM </w:t>
      </w:r>
      <w:r>
        <w:t xml:space="preserve">accessed through OpenAI Codex was used to prepare the </w:t>
      </w:r>
      <w:r>
        <w:t xml:space="preserve">complete </w:t>
      </w:r>
      <w:r>
        <w:t xml:space="preserve">manuscript from the </w:t>
      </w:r>
      <w:r>
        <w:t xml:space="preserve">calculations, model predictions, figures, literature, and project instructions. </w:t>
      </w:r>
      <w:r>
        <w:t xml:space="preserve">Data to paper generation with interacting LLM agents and source linked outputs has been reported by Ifargan and colleagues </w:t>
      </w:r>
      <w:r>
        <w:t xml:space="preserve">[</w:t>
      </w:r>
      <w:hyperlink r:id="rId30">
        <w:r>
          <w:rPr>
            <w:rStyle w:val="Hyperlink"/>
          </w:rPr>
          <w:t xml:space="preserve">10.1056/aioa2400555</w:t>
        </w:r>
      </w:hyperlink>
      <w:r>
        <w:t xml:space="preserve">]</w:t>
      </w:r>
      <w:r>
        <w:t xml:space="preserve">. The present procedure was </w:t>
      </w:r>
      <w:r>
        <w:t xml:space="preserve">developed for one consolidated prompt that generates </w:t>
      </w:r>
      <w:r>
        <w:t xml:space="preserve">a complete </w:t>
      </w:r>
      <w:r>
        <w:t xml:space="preserve">electrochemistry </w:t>
      </w:r>
      <w:r>
        <w:t xml:space="preserve">article </w:t>
      </w:r>
      <w:r>
        <w:t xml:space="preserve">after </w:t>
      </w:r>
      <w:r>
        <w:t xml:space="preserve">extensive </w:t>
      </w:r>
      <w:r>
        <w:t xml:space="preserve">human </w:t>
      </w:r>
      <w:r>
        <w:t xml:space="preserve">guidance.</w:t>
      </w:r>
    </w:p>
    <w:p w14:paraId="76F96CC7" w14:textId="70CECEE0" w:rsidR="001822C1" w:rsidRDefault="00000000">
      <w:r>
        <w:t xml:space="preserve">The manuscript instructions were developed through repeated human </w:t>
      </w:r>
      <w:r>
        <w:t xml:space="preserve">guidance </w:t>
      </w:r>
      <w:r>
        <w:t xml:space="preserve">over approximately two weeks. Scientific </w:t>
      </w:r>
      <w:r>
        <w:t xml:space="preserve">terminology, source authority, database matching, analysis code, figure construction, </w:t>
      </w:r>
      <w:r>
        <w:t xml:space="preserve">journal requirements, </w:t>
      </w:r>
      <w:r>
        <w:t xml:space="preserve">article structure, </w:t>
      </w:r>
      <w:r>
        <w:t xml:space="preserve">and writing </w:t>
      </w:r>
      <w:r>
        <w:t xml:space="preserve">style </w:t>
      </w:r>
      <w:r>
        <w:t xml:space="preserve">were </w:t>
      </w:r>
      <w:r>
        <w:t xml:space="preserve">tested and corrected. </w:t>
      </w:r>
      <w:r>
        <w:t xml:space="preserve">Ten defined functions </w:t>
      </w:r>
      <w:r>
        <w:t xml:space="preserve">covered </w:t>
      </w:r>
      <w:r>
        <w:t xml:space="preserve">project curation, scientific auditing, programming, figure preparation, supervision, drafting, literature </w:t>
      </w:r>
      <w:r>
        <w:t xml:space="preserve">synthesis, </w:t>
      </w:r>
      <w:r>
        <w:t xml:space="preserve">document construction, style editing, and release </w:t>
      </w:r>
      <w:r>
        <w:t xml:space="preserve">auditing.</w:t>
      </w:r>
    </w:p>
    <w:p w14:paraId="59CEF76B" w14:textId="01F1892D" w:rsidR="001822C1" w:rsidRDefault="00000000">
      <w:r>
        <w:t xml:space="preserve">The </w:t>
      </w:r>
      <w:r>
        <w:t xml:space="preserve">consolidated prompt </w:t>
      </w:r>
      <w:r>
        <w:t xml:space="preserve">was applied </w:t>
      </w:r>
      <w:r>
        <w:t xml:space="preserve">to the verified scientific inputs and tested </w:t>
      </w:r>
      <w:r>
        <w:t xml:space="preserve">instructions to generate the complete article. </w:t>
      </w:r>
      <w:r>
        <w:t xml:space="preserve">The </w:t>
      </w:r>
      <w:r>
        <w:t xml:space="preserve">calculations, predictions, figures, </w:t>
      </w:r>
      <w:r>
        <w:t xml:space="preserve">citations, terminology, </w:t>
      </w:r>
      <w:r>
        <w:t xml:space="preserve">and </w:t>
      </w:r>
      <w:r>
        <w:t xml:space="preserve">scientific interpretation were then checked </w:t>
      </w:r>
      <w:r>
        <w:t xml:space="preserve">by the human researchers, who approved the </w:t>
      </w:r>
      <w:r>
        <w:t xml:space="preserve">resulting </w:t>
      </w:r>
      <w:r>
        <w:t xml:space="preserve">account.</w:t>
      </w:r>
    </w:p>
    <w:p w14:paraId="73F697B7" w14:textId="77777777" w:rsidR="001822C1" w:rsidRDefault="00000000">
      <w:pPr>
        <w:pStyle w:val="Heading1"/>
      </w:pPr>
      <w:r>
        <w:t>3. Results and discussion</w:t>
      </w:r>
    </w:p>
    <w:p w14:paraId="56272B22" w14:textId="1DE3E888" w:rsidR="001822C1" w:rsidRDefault="00000000">
      <w:pPr>
        <w:pStyle w:val="Heading2"/>
      </w:pPr>
      <w:r>
        <w:t>3.1. Molecular structures and adsorption centers</w:t>
      </w:r>
    </w:p>
    <w:p w14:paraId="37AEA7AB" w14:textId="2AAA250D" w:rsidR="001822C1" w:rsidRDefault="001822C1">
      <w:hyperlink w:anchor="Figure_1">
        <w:r>
          <w:rPr>
            <w:rStyle w:val="Hyperlink"/>
          </w:rPr>
          <w:t xml:space="preserve">Figure 1</w:t>
        </w:r>
      </w:hyperlink>
      <w:r>
        <w:t xml:space="preserve"> shows the common molecular structure and the </w:t>
      </w:r>
      <w:r>
        <w:t xml:space="preserve">four component classes used to build </w:t>
      </w:r>
      <w:r>
        <w:t xml:space="preserve">the </w:t>
      </w:r>
      <w:r>
        <w:t xml:space="preserve">catalyst library. </w:t>
      </w:r>
      <w:r>
        <w:t xml:space="preserve">Each </w:t>
      </w:r>
      <w:r>
        <w:t xml:space="preserve">molecule contains one dual-atom site with two metal-atom adsorption centers. The </w:t>
      </w:r>
      <w:r>
        <w:t xml:space="preserve">metal identities, bridge atoms, and diamine </w:t>
      </w:r>
      <w:r>
        <w:t xml:space="preserve">vary in the 88 catalyst DFT set, </w:t>
      </w:r>
      <w:r>
        <w:t xml:space="preserve">while A2 </w:t>
      </w:r>
      <w:r>
        <w:t xml:space="preserve">remains </w:t>
      </w:r>
      <w:r>
        <w:t xml:space="preserve">the fixed dialdehyde. The </w:t>
      </w:r>
      <w:r>
        <w:t xml:space="preserve">database retains </w:t>
      </w:r>
      <w:r>
        <w:t xml:space="preserve">the occupied adsorption center when an intermediate binds at either metal atom.</w:t>
      </w:r>
    </w:p>
    <w:p w14:paraId="42632FAD" w14:textId="77777777" w:rsidR="001822C1" w:rsidRDefault="00000000">
      <w:pPr>
        <w:jc w:val="center"/>
      </w:pPr>
      <w:r>
        <w:rPr>
          <w:noProof/>
        </w:rPr>
        <w:lastRenderedPageBreak/>
        <w:drawing>
          <wp:inline distT="0" distB="0" distL="114300" distR="114300" wp14:anchorId="62431909" wp14:editId="432453F3">
            <wp:extent cx="2970000" cy="261170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2970000" cy="2611709"/>
                    </a:xfrm>
                    <a:prstGeom prst="rect">
                      <a:avLst/>
                    </a:prstGeom>
                    <a:ln/>
                  </pic:spPr>
                </pic:pic>
              </a:graphicData>
            </a:graphic>
          </wp:inline>
        </w:drawing>
      </w:r>
    </w:p>
    <w:p w14:paraId="7228D08B" w14:textId="77777777" w:rsidR="001822C1" w:rsidRDefault="00000000">
      <w:hyperlink w:anchor="Figure_1">
        <w:r>
          <w:rPr>
            <w:rStyle w:val="Hyperlink"/>
            <w:b/>
          </w:rPr>
          <w:t xml:space="preserve">Figure 1</w:t>
        </w:r>
      </w:hyperlink>
      <w:r>
        <w:rPr>
          <w:b/>
        </w:rPr>
        <w:t xml:space="preserve">. Modular molecular structure of the catalyst library. </w:t>
      </w:r>
      <w:r>
        <w:t xml:space="preserve">Colored regions and arrows identify the metal positions (purple), bridge atoms (red), diamine derived region (green), and dialdehyde derived region (orange). </w:t>
      </w:r>
      <w:r>
        <w:t xml:space="preserve">The metal </w:t>
      </w:r>
      <w:r>
        <w:t xml:space="preserve">positions can contain Cr, Mn, Fe, Co, Ni, or Cu; </w:t>
      </w:r>
      <w:r>
        <w:t xml:space="preserve">the two </w:t>
      </w:r>
      <w:r>
        <w:t xml:space="preserve">bridge atoms </w:t>
      </w:r>
      <w:r>
        <w:t xml:space="preserve">can be </w:t>
      </w:r>
      <w:r>
        <w:t xml:space="preserve">N, O, or </w:t>
      </w:r>
      <w:r>
        <w:rPr/>
        <w:t xml:space="preserve">S</w:t>
      </w:r>
      <w:r>
        <w:t xml:space="preserve">; the diamine is B1 or B2; and A2 is the fixed dialdehyde. </w:t>
      </w:r>
      <w:r>
        <w:t xml:space="preserve">A2, B1, and B2 follow the </w:t>
      </w:r>
      <w:r>
        <w:t xml:space="preserve">notation </w:t>
      </w:r>
      <w:r>
        <w:t xml:space="preserve">in our data article </w:t>
      </w:r>
      <w:r>
        <w:t xml:space="preserve">[</w:t>
      </w:r>
      <w:hyperlink r:id="rId24">
        <w:r>
          <w:rPr>
            <w:rStyle w:val="Hyperlink"/>
          </w:rPr>
          <w:t xml:space="preserve">10.1016/j.dib.2026.112806</w:t>
        </w:r>
      </w:hyperlink>
      <w:r>
        <w:t xml:space="preserve">]</w:t>
      </w:r>
      <w:r>
        <w:t xml:space="preserve">.</w:t>
      </w:r>
    </w:p>
    <w:p w14:paraId="22D55664" w14:textId="41E18C42" w:rsidR="001822C1" w:rsidRDefault="00000000">
      <w:r>
        <w:t>The 88 catalyst structures yielded 123 complete pathways after exact matching of each catalyst and adsorption center. The author approved energy filters retained 118 pathways across 79 catalysts for the scaling and CHE analyses.</w:t>
      </w:r>
    </w:p>
    <w:p w14:paraId="6D5FF166" w14:textId="77777777" w:rsidR="001822C1" w:rsidRDefault="00000000">
      <w:pPr>
        <w:pStyle w:val="Heading2"/>
      </w:pPr>
      <w:r>
        <w:t>3.2. Adsorption scaling and calculated ORR thermodynamics</w:t>
      </w:r>
    </w:p>
    <w:p w14:paraId="14BCC34E" w14:textId="22323665" w:rsidR="001822C1" w:rsidRDefault="001822C1">
      <w:hyperlink w:anchor="Figure_2">
        <w:r>
          <w:rPr>
            <w:rStyle w:val="Hyperlink"/>
          </w:rPr>
          <w:t xml:space="preserve">Figure 2a</w:t>
        </w:r>
      </w:hyperlink>
      <w:r>
        <w:t xml:space="preserve"> </w:t>
      </w:r>
      <w:r>
        <w:t xml:space="preserve">relates </w:t>
      </w:r>
      <w:r>
        <w:t xml:space="preserve">the </w:t>
      </w:r>
      <w:r>
        <w:t xml:space="preserve">DFT calculated </w:t>
      </w:r>
      <w:r>
        <w:t xml:space="preserve">O and OOH adsorption free energies </w:t>
      </w:r>
      <w:r>
        <w:t xml:space="preserve">to </w:t>
      </w:r>
      <w:r>
        <w:t xml:space="preserve">OH adsorption free </w:t>
      </w:r>
      <w:r>
        <w:t xml:space="preserve">energy for the 118 retained catalyst and adsorption center combinations. </w:t>
      </w:r>
      <w:r>
        <w:t xml:space="preserve">The OOH–OH </w:t>
      </w:r>
      <w:r>
        <w:t xml:space="preserve">fit </w:t>
      </w:r>
      <w:r>
        <w:t xml:space="preserve">has a slope of 0.69 and </w:t>
      </w:r>
      <w:r>
        <w:t xml:space="preserve">an </w:t>
      </w:r>
      <w:r>
        <w:t xml:space="preserve">intercept of 2.98 eV, while the O–OH </w:t>
      </w:r>
      <w:r>
        <w:t xml:space="preserve">fit </w:t>
      </w:r>
      <w:r>
        <w:t xml:space="preserve">has a slope of 1.66 and </w:t>
      </w:r>
      <w:r>
        <w:t xml:space="preserve">an </w:t>
      </w:r>
      <w:r>
        <w:t xml:space="preserve">intercept of 1.20 eV. </w:t>
      </w:r>
      <w:r>
        <w:t xml:space="preserve">The steeper O–OH relation gives O </w:t>
      </w:r>
      <w:r>
        <w:t xml:space="preserve">binding </w:t>
      </w:r>
      <w:r>
        <w:t xml:space="preserve">the larger response to changes in </w:t>
      </w:r>
      <w:r>
        <w:t xml:space="preserve">OH </w:t>
      </w:r>
      <w:r>
        <w:t xml:space="preserve">binding. </w:t>
      </w:r>
      <w:hyperlink w:anchor="Figure_2">
        <w:r>
          <w:rPr>
            <w:rStyle w:val="Hyperlink"/>
          </w:rPr>
          <w:t xml:space="preserve">Figure 2b</w:t>
        </w:r>
      </w:hyperlink>
      <w:r>
        <w:t xml:space="preserve"> carries both fits </w:t>
      </w:r>
      <w:r>
        <w:t xml:space="preserve">through the four </w:t>
      </w:r>
      <w:r>
        <w:t xml:space="preserve">CHE steps, so the adsorption relations and the calculated </w:t>
      </w:r>
      <w:r>
        <w:t xml:space="preserve">ORR </w:t>
      </w:r>
      <w:r>
        <w:t xml:space="preserve">overpotential remain part of one thermodynamic analysis.</w:t>
      </w:r>
    </w:p>
    <w:p w14:paraId="289D3485" w14:textId="77777777" w:rsidR="001822C1" w:rsidRDefault="00000000">
      <w:pPr>
        <w:jc w:val="center"/>
      </w:pPr>
      <w:r>
        <w:rPr>
          <w:noProof/>
        </w:rPr>
        <w:drawing>
          <wp:inline distT="0" distB="0" distL="114300" distR="114300" wp14:anchorId="63B55769" wp14:editId="3EE73195">
            <wp:extent cx="6120000" cy="305923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6120000" cy="3059237"/>
                    </a:xfrm>
                    <a:prstGeom prst="rect">
                      <a:avLst/>
                    </a:prstGeom>
                    <a:ln/>
                  </pic:spPr>
                </pic:pic>
              </a:graphicData>
            </a:graphic>
          </wp:inline>
        </w:drawing>
      </w:r>
    </w:p>
    <w:bookmarkStart w:id="50" w:name="bookmark=id.p31wzysnwg0v" w:colFirst="0" w:colLast="0"/>
    <w:bookmarkEnd w:id="50"/>
    <w:p w14:paraId="31F49A19" w14:textId="4EFB9C3A" w:rsidR="001822C1" w:rsidRDefault="001822C1">
      <w:hyperlink w:anchor="Figure_2">
        <w:r>
          <w:rPr>
            <w:rStyle w:val="Hyperlink"/>
            <w:b/>
          </w:rPr>
          <w:t xml:space="preserve">Figure 2</w:t>
        </w:r>
      </w:hyperlink>
      <w:r>
        <w:rPr>
          <w:b/>
        </w:rPr>
        <w:t xml:space="preserve">. Density functional theory </w:t>
      </w:r>
      <w:r>
        <w:t xml:space="preserve">adsorption scaling and conventional computational hydrogen electrode </w:t>
      </w:r>
      <w:r>
        <w:t xml:space="preserve">activity for </w:t>
      </w:r>
      <w:r>
        <w:t xml:space="preserve">the </w:t>
      </w:r>
      <w:r>
        <w:t xml:space="preserve">molecular dual-atom site </w:t>
      </w:r>
      <w:r>
        <w:t xml:space="preserve">catalysts defined in </w:t>
      </w:r>
      <w:hyperlink w:anchor="Figure_1">
        <w:r>
          <w:rPr>
            <w:rStyle w:val="Hyperlink"/>
          </w:rPr>
          <w:t xml:space="preserve">Figure 1</w:t>
        </w:r>
      </w:hyperlink>
      <w:r>
        <w:t xml:space="preserve">. </w:t>
      </w:r>
      <w:r>
        <w:t xml:space="preserve">(a) </w:t>
      </w:r>
      <w:r>
        <w:t xml:space="preserve">Calculated </w:t>
      </w:r>
      <w:r>
        <w:t xml:space="preserve">O and OOH adsorption free energies versus OH adsorption free </w:t>
      </w:r>
      <w:r>
        <w:t xml:space="preserve">energy for 118 catalyst and adsorption center combinations across 79 catalysts. Circles denote O and squares denote OOH. </w:t>
      </w:r>
      <w:r>
        <w:t xml:space="preserve">Jmol </w:t>
      </w:r>
      <w:r>
        <w:t xml:space="preserve">colors </w:t>
      </w:r>
      <w:r>
        <w:t xml:space="preserve">identify the adsorption-center metal: </w:t>
      </w:r>
      <w:r>
        <w:t xml:space="preserve">Cr, blue gray; Mn, violet; Fe, orange; Co, pink; Ni, green; </w:t>
      </w:r>
      <w:r>
        <w:t xml:space="preserve">and </w:t>
      </w:r>
      <w:r>
        <w:t xml:space="preserve">Cu, brown. The solid </w:t>
      </w:r>
      <w:r>
        <w:t xml:space="preserve">and dashed </w:t>
      </w:r>
      <w:r>
        <w:t xml:space="preserve">black </w:t>
      </w:r>
      <w:r>
        <w:t xml:space="preserve">lines </w:t>
      </w:r>
      <w:r>
        <w:t xml:space="preserve">are </w:t>
      </w:r>
      <w:r>
        <w:t xml:space="preserve">the OOH–OH and O–OH </w:t>
      </w:r>
      <w:r>
        <w:t xml:space="preserve">linear fits. </w:t>
      </w:r>
      <w:r>
        <w:t xml:space="preserve">(b) Calculated </w:t>
      </w:r>
      <w:r>
        <w:t xml:space="preserve">ORR overpotentials </w:t>
      </w:r>
      <w:r>
        <w:t xml:space="preserve">for the </w:t>
      </w:r>
      <w:r>
        <w:t xml:space="preserve">same combinations, shown as diamonds with the same metal colors. </w:t>
      </w:r>
      <w:r>
        <w:t xml:space="preserve">The solid </w:t>
      </w:r>
      <w:r>
        <w:t xml:space="preserve">black </w:t>
      </w:r>
      <w:r>
        <w:t xml:space="preserve">curve </w:t>
      </w:r>
      <w:r>
        <w:t xml:space="preserve">propagates </w:t>
      </w:r>
      <w:r>
        <w:t xml:space="preserve">the </w:t>
      </w:r>
      <w:r>
        <w:t xml:space="preserve">two fitted </w:t>
      </w:r>
      <w:r>
        <w:t xml:space="preserve">scaling relations through the four </w:t>
      </w:r>
      <w:r>
        <w:t xml:space="preserve">reaction </w:t>
      </w:r>
      <w:r>
        <w:t xml:space="preserve">steps. The </w:t>
      </w:r>
      <w:r>
        <w:t xml:space="preserve">gray </w:t>
      </w:r>
      <w:r>
        <w:t xml:space="preserve">dotted </w:t>
      </w:r>
      <w:r>
        <w:t xml:space="preserve">line is the </w:t>
      </w:r>
      <w:r>
        <w:t xml:space="preserve">ideal </w:t>
      </w:r>
      <w:r>
        <w:t xml:space="preserve">CHE envelope, </w:t>
      </w:r>
      <w:r>
        <w:t xml:space="preserve">and </w:t>
      </w:r>
      <w:r>
        <w:t xml:space="preserve">the </w:t>
      </w:r>
      <w:r>
        <w:t xml:space="preserve">star marks zero overpotential at an OH adsorption free energy of 1.23 eV. Lower overpotential appears higher on the reversed </w:t>
      </w:r>
      <w:r>
        <w:t xml:space="preserve">axis. The plotted dataset excludes combinations with OH adsorption free energy below 0.00 eV or O adsorption free energy above 4.92 eV.</w:t>
      </w:r>
    </w:p>
    <w:p w14:paraId="0FC88B60" w14:textId="4450F1B1" w:rsidR="001822C1" w:rsidRDefault="00000000">
      <w:r>
        <w:t xml:space="preserve">The three lowest calculated CHE overpotentials belong to a Cr–Mn DASC with </w:t>
      </w:r>
      <w:r>
        <w:rPr/>
        <w:t xml:space="preserve">S</w:t>
      </w:r>
      <w:r>
        <w:t xml:space="preserve"> bridge </w:t>
      </w:r>
      <w:r>
        <w:t xml:space="preserve">atoms </w:t>
      </w:r>
      <w:r>
        <w:t xml:space="preserve">and B1 diamine at the Mn adsorption center (0.34 V), a Mn–Mn DASC with </w:t>
      </w:r>
      <w:r>
        <w:rPr/>
        <w:t xml:space="preserve">S</w:t>
      </w:r>
      <w:r>
        <w:t xml:space="preserve"> bridge </w:t>
      </w:r>
      <w:r>
        <w:t xml:space="preserve">atoms </w:t>
      </w:r>
      <w:r>
        <w:t xml:space="preserve">and B1 diamine at the Mn adsorption center (0.39 V), and an Fe–Cu DASC with </w:t>
      </w:r>
      <w:r>
        <w:rPr/>
        <w:t xml:space="preserve">S</w:t>
      </w:r>
      <w:r>
        <w:t xml:space="preserve"> bridge </w:t>
      </w:r>
      <w:r>
        <w:t xml:space="preserve">atoms </w:t>
      </w:r>
      <w:r>
        <w:t xml:space="preserve">and B2 diamine at the Fe adsorption center (0.41 V). </w:t>
      </w:r>
      <w:r>
        <w:t xml:space="preserve">All three contain </w:t>
      </w:r>
      <w:r>
        <w:rPr/>
        <w:t xml:space="preserve">S</w:t>
      </w:r>
      <w:r>
        <w:t xml:space="preserve"> bridge atoms, while their metals and diamines differ. </w:t>
      </w:r>
      <w:r>
        <w:t xml:space="preserve">These </w:t>
      </w:r>
      <w:r>
        <w:t xml:space="preserve">calculations therefore identify </w:t>
      </w:r>
      <w:r>
        <w:rPr/>
        <w:t xml:space="preserve">S</w:t>
      </w:r>
      <w:r>
        <w:t xml:space="preserve"> bridged </w:t>
      </w:r>
      <w:r>
        <w:t xml:space="preserve">molecular </w:t>
      </w:r>
      <w:r>
        <w:t xml:space="preserve">structures as concrete candidates while leaving metal and diamine effects to </w:t>
      </w:r>
      <w:r>
        <w:t xml:space="preserve">the </w:t>
      </w:r>
      <w:r>
        <w:t xml:space="preserve">broader family comparison.</w:t>
      </w:r>
    </w:p>
    <w:p w14:paraId="1B9790A2" w14:textId="7054EC3D" w:rsidR="001822C1" w:rsidRDefault="00000000">
      <w:pPr>
        <w:pStyle w:val="Heading2"/>
      </w:pPr>
      <w:r>
        <w:t>3.3. Regression predictions across catalyst families</w:t>
      </w:r>
    </w:p>
    <w:p w14:paraId="20945784" w14:textId="2ECA924E" w:rsidR="001822C1" w:rsidRDefault="00000000">
      <w:r>
        <w:t xml:space="preserve">The </w:t>
      </w:r>
      <w:r>
        <w:t xml:space="preserve">lowest DFT overpotential decile contains 12 </w:t>
      </w:r>
      <w:r>
        <w:t xml:space="preserve">catalyst and </w:t>
      </w:r>
      <w:r>
        <w:t xml:space="preserve">adsorption </w:t>
      </w:r>
      <w:r>
        <w:t xml:space="preserve">center combinations. Five have </w:t>
      </w:r>
      <w:r>
        <w:t xml:space="preserve">Co adsorption </w:t>
      </w:r>
      <w:r>
        <w:t xml:space="preserve">centers, four have </w:t>
      </w:r>
      <w:r>
        <w:t xml:space="preserve">Mn, </w:t>
      </w:r>
      <w:r>
        <w:t xml:space="preserve">and three have Fe; none have </w:t>
      </w:r>
      <w:r>
        <w:t xml:space="preserve">Cr, Ni, </w:t>
      </w:r>
      <w:r>
        <w:t xml:space="preserve">or Cu adsorption centers. Seven contain </w:t>
      </w:r>
      <w:r>
        <w:rPr/>
        <w:t xml:space="preserve">S</w:t>
      </w:r>
      <w:r>
        <w:t xml:space="preserve">–</w:t>
      </w:r>
      <w:r>
        <w:rPr/>
        <w:t xml:space="preserve">S</w:t>
      </w:r>
      <w:r>
        <w:t xml:space="preserve"> bridges, four contain N–N bridges, </w:t>
      </w:r>
      <w:r>
        <w:t xml:space="preserve">and </w:t>
      </w:r>
      <w:r>
        <w:t xml:space="preserve">one contains an O–O bridge. B1 and B2 each occur six times. The DFT pool therefore selects a restricted set </w:t>
      </w:r>
      <w:r>
        <w:t xml:space="preserve">of </w:t>
      </w:r>
      <w:r>
        <w:t xml:space="preserve">adsorption-center metals </w:t>
      </w:r>
      <w:r>
        <w:t xml:space="preserve">and </w:t>
      </w:r>
      <w:r>
        <w:t xml:space="preserve">moderately favors </w:t>
      </w:r>
      <w:r>
        <w:rPr/>
        <w:t xml:space="preserve">S</w:t>
      </w:r>
      <w:r>
        <w:t xml:space="preserve"> bridge atoms, while it gives no preference between </w:t>
      </w:r>
      <w:r>
        <w:t xml:space="preserve">the </w:t>
      </w:r>
      <w:r>
        <w:t xml:space="preserve">two diamines.</w:t>
      </w:r>
    </w:p>
    <w:p w14:paraId="75EE336C" w14:textId="5E37FA9C" w:rsidR="001822C1" w:rsidRDefault="00000000">
      <w:r>
        <w:t xml:space="preserve">The ML screen sharpens the metal trend across the larger library. The lowest predicted decile contains 203 catalyst and adsorption center combinations: 187 have Fe adsorption centers and 16 have Co adsorption centers. </w:t>
      </w:r>
      <w:r>
        <w:rPr/>
        <w:t xml:space="preserve">S</w:t>
      </w:r>
      <w:r>
        <w:t xml:space="preserve">–</w:t>
      </w:r>
      <w:r>
        <w:rPr/>
        <w:t xml:space="preserve">S</w:t>
      </w:r>
      <w:r>
        <w:t xml:space="preserve"> bridges account for 65 combinations, or 32%, compared with 18% in the full retained screen. B1 occurs in 122 combinations, or 60%, compared with 54% in the full screen. The strongest design principle is therefore an Fe adsorption center in an </w:t>
      </w:r>
      <w:r>
        <w:rPr/>
        <w:t xml:space="preserve">S</w:t>
      </w:r>
      <w:r>
        <w:t xml:space="preserve"> bridged molecular structure; B1 is a secondary preference, and Co provides the next metal family. No single component determines activity by itself. </w:t>
      </w:r>
      <w:r>
        <w:t xml:space="preserve">The three lowest </w:t>
      </w:r>
      <w:r>
        <w:t xml:space="preserve">individual predictions illustrate </w:t>
      </w:r>
      <w:r>
        <w:t xml:space="preserve">the </w:t>
      </w:r>
      <w:r>
        <w:t xml:space="preserve">pattern: an Fe–Fe DASC with A9 dialdehyde, O bridge atoms, </w:t>
      </w:r>
      <w:r>
        <w:t xml:space="preserve">and </w:t>
      </w:r>
      <w:r>
        <w:t xml:space="preserve">B1 diamine gives 0.29 V; an Fe–Fe DASC with A1 dialdehyde, </w:t>
      </w:r>
      <w:r>
        <w:rPr/>
        <w:t xml:space="preserve">S</w:t>
      </w:r>
      <w:r>
        <w:t xml:space="preserve"> bridge atoms, and B1 gives </w:t>
      </w:r>
      <w:r>
        <w:t xml:space="preserve">0.30 </w:t>
      </w:r>
      <w:r>
        <w:t xml:space="preserve">V; and an </w:t>
      </w:r>
      <w:r>
        <w:t xml:space="preserve">Mn–Fe DASC with </w:t>
      </w:r>
      <w:r>
        <w:t xml:space="preserve">A9 dialdehyde, </w:t>
      </w:r>
      <w:r>
        <w:rPr/>
        <w:t xml:space="preserve">S</w:t>
      </w:r>
      <w:r>
        <w:t xml:space="preserve"> </w:t>
      </w:r>
      <w:r>
        <w:t xml:space="preserve">bridge atoms, and </w:t>
      </w:r>
      <w:r>
        <w:t xml:space="preserve">B1 </w:t>
      </w:r>
      <w:r>
        <w:t xml:space="preserve">at the </w:t>
      </w:r>
      <w:r>
        <w:t xml:space="preserve">Fe adsorption </w:t>
      </w:r>
      <w:r>
        <w:t xml:space="preserve">center gives 0.30 V. These model predictions remain subject to </w:t>
      </w:r>
      <w:r>
        <w:t xml:space="preserve">the </w:t>
      </w:r>
      <w:r>
        <w:t xml:space="preserve">charge and spin </w:t>
      </w:r>
      <w:r>
        <w:t xml:space="preserve">scope </w:t>
      </w:r>
      <w:r>
        <w:t xml:space="preserve">in Section </w:t>
      </w:r>
      <w:r>
        <w:t xml:space="preserve">2.2.</w:t>
      </w:r>
    </w:p>
    <w:p w14:paraId="4E37B995" w14:textId="77777777" w:rsidR="001822C1" w:rsidRDefault="00000000">
      <w:pPr>
        <w:jc w:val="center"/>
      </w:pPr>
      <w:r>
        <w:rPr>
          <w:noProof/>
        </w:rPr>
        <w:lastRenderedPageBreak/>
        <w:drawing>
          <wp:inline distT="0" distB="0" distL="114300" distR="114300" wp14:anchorId="4666042F" wp14:editId="52BB5DDC">
            <wp:extent cx="6120000" cy="3059237"/>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6120000" cy="3059237"/>
                    </a:xfrm>
                    <a:prstGeom prst="rect">
                      <a:avLst/>
                    </a:prstGeom>
                    <a:ln/>
                  </pic:spPr>
                </pic:pic>
              </a:graphicData>
            </a:graphic>
          </wp:inline>
        </w:drawing>
      </w:r>
    </w:p>
    <w:p w14:paraId="4AD77301" w14:textId="2E676CDD" w:rsidR="001822C1" w:rsidRDefault="001822C1">
      <w:hyperlink w:anchor="Figure_3">
        <w:r>
          <w:rPr>
            <w:rStyle w:val="Hyperlink"/>
            <w:b/>
          </w:rPr>
          <w:t xml:space="preserve">Figure 3</w:t>
        </w:r>
      </w:hyperlink>
      <w:r>
        <w:rPr>
          <w:b/>
        </w:rPr>
        <w:t xml:space="preserve">. </w:t>
      </w:r>
      <w:r>
        <w:t xml:space="preserve">Machine learning predicted </w:t>
      </w:r>
      <w:r>
        <w:t xml:space="preserve">adsorption scaling and conventional computational hydrogen electrode </w:t>
      </w:r>
      <w:r>
        <w:t xml:space="preserve">activity for </w:t>
      </w:r>
      <w:r>
        <w:t xml:space="preserve">the 1176 structure </w:t>
      </w:r>
      <w:r>
        <w:t xml:space="preserve">molecular </w:t>
      </w:r>
      <w:r>
        <w:t xml:space="preserve">catalyst library. </w:t>
      </w:r>
      <w:r>
        <w:t xml:space="preserve">(a) Predicted O and OOH adsorption free energies versus predicted OH adsorption free energy. </w:t>
      </w:r>
      <w:r>
        <w:t xml:space="preserve">Circles denote O and squares denote OOH. </w:t>
      </w:r>
      <w:r>
        <w:t xml:space="preserve">Jmol </w:t>
      </w:r>
      <w:r>
        <w:t xml:space="preserve">colors </w:t>
      </w:r>
      <w:r>
        <w:t xml:space="preserve">identify the adsorption-center metal: </w:t>
      </w:r>
      <w:r>
        <w:t xml:space="preserve">Cr, blue gray; Mn, violet; Fe, orange; Co, pink; Ni, green; </w:t>
      </w:r>
      <w:r>
        <w:t xml:space="preserve">and </w:t>
      </w:r>
      <w:r>
        <w:t xml:space="preserve">Cu, brown. The solid </w:t>
      </w:r>
      <w:r>
        <w:t xml:space="preserve">and dashed </w:t>
      </w:r>
      <w:r>
        <w:t xml:space="preserve">black </w:t>
      </w:r>
      <w:r>
        <w:t xml:space="preserve">lines </w:t>
      </w:r>
      <w:r>
        <w:t xml:space="preserve">are </w:t>
      </w:r>
      <w:r>
        <w:t xml:space="preserve">the </w:t>
      </w:r>
      <w:r>
        <w:t xml:space="preserve">predicted </w:t>
      </w:r>
      <w:r>
        <w:t xml:space="preserve">OOH–OH and O–OH </w:t>
      </w:r>
      <w:r>
        <w:t xml:space="preserve">linear fits. </w:t>
      </w:r>
      <w:r>
        <w:t xml:space="preserve">(b) </w:t>
      </w:r>
      <w:r>
        <w:t xml:space="preserve">Predicted ORR overpotentials, shown as diamonds with </w:t>
      </w:r>
      <w:r>
        <w:t xml:space="preserve">the </w:t>
      </w:r>
      <w:r>
        <w:t xml:space="preserve">same metal colors. </w:t>
      </w:r>
      <w:r>
        <w:t xml:space="preserve">The solid </w:t>
      </w:r>
      <w:r>
        <w:t xml:space="preserve">black </w:t>
      </w:r>
      <w:r>
        <w:t xml:space="preserve">curve </w:t>
      </w:r>
      <w:r>
        <w:t xml:space="preserve">propagates </w:t>
      </w:r>
      <w:r>
        <w:t xml:space="preserve">the predicted scaling relations through the four </w:t>
      </w:r>
      <w:r>
        <w:t xml:space="preserve">reaction steps. The gray dotted line and star show </w:t>
      </w:r>
      <w:r>
        <w:t xml:space="preserve">the </w:t>
      </w:r>
      <w:r>
        <w:t xml:space="preserve">ideal </w:t>
      </w:r>
      <w:r>
        <w:t xml:space="preserve">CHE </w:t>
      </w:r>
      <w:r>
        <w:t xml:space="preserve">reference </w:t>
      </w:r>
      <w:r>
        <w:t xml:space="preserve">from </w:t>
      </w:r>
      <w:hyperlink w:anchor="Figure_2">
        <w:r>
          <w:rPr>
            <w:rStyle w:val="Hyperlink"/>
          </w:rPr>
          <w:t xml:space="preserve">Figure 2</w:t>
        </w:r>
      </w:hyperlink>
      <w:r>
        <w:t xml:space="preserve">. </w:t>
      </w:r>
      <w:r>
        <w:t xml:space="preserve">The </w:t>
      </w:r>
      <w:r>
        <w:t xml:space="preserve">plots contain 2021 retained catalyst </w:t>
      </w:r>
      <w:r>
        <w:t xml:space="preserve">and </w:t>
      </w:r>
      <w:r>
        <w:t xml:space="preserve">adsorption center combinations across 1156 catalysts after exclusion of predicted OH adsorption free energies below 0.00 eV and predicted O adsorption free energies above 4.92 eV. Axis tick labels </w:t>
      </w:r>
      <w:r>
        <w:t xml:space="preserve">are </w:t>
      </w:r>
      <w:r>
        <w:t xml:space="preserve">shown to one decimal place.</w:t>
      </w:r>
    </w:p>
    <w:p w14:paraId="4663BA17" w14:textId="28262819" w:rsidR="001822C1" w:rsidRDefault="00000000">
      <w:pPr>
        <w:pStyle w:val="Heading2"/>
      </w:pPr>
      <w:r>
        <w:t xml:space="preserve">3.4. </w:t>
      </w:r>
      <w:r>
        <w:t xml:space="preserve">Molecular catalyst design in context</w:t>
      </w:r>
    </w:p>
    <w:p>
      <w:pPr>
        <w:pStyle w:val="Normal"/>
      </w:pPr>
      <w:r>
        <w:t xml:space="preserve">Molecular definition makes catalyst variables experimentally meaningful. Our data article established the modular A2, B1, and B2 notation and preserved each molecular structure as a reusable record </w:t>
      </w:r>
      <w:r>
        <w:t xml:space="preserve">[</w:t>
      </w:r>
      <w:hyperlink r:id="rId24">
        <w:r>
          <w:rPr>
            <w:rStyle w:val="Hyperlink"/>
          </w:rPr>
          <w:t xml:space="preserve">10.1016/j.dib.2026.112806</w:t>
        </w:r>
      </w:hyperlink>
      <w:r>
        <w:t xml:space="preserve">]</w:t>
      </w:r>
      <w:r>
        <w:t xml:space="preserve">. Work on the same catalyst family then showed that a phenylene or naphthalene spacer can change the distance between two Co centers, the binding geometry of oxygen intermediates, and ORR selectivity </w:t>
      </w:r>
      <w:r>
        <w:t xml:space="preserve">[</w:t>
      </w:r>
      <w:hyperlink r:id="rId45">
        <w:r>
          <w:rPr>
            <w:rStyle w:val="Hyperlink"/>
          </w:rPr>
          <w:t xml:space="preserve">10.26434/chemrxiv.15001712/v1</w:t>
        </w:r>
      </w:hyperlink>
      <w:r>
        <w:t xml:space="preserve">]</w:t>
      </w:r>
      <w:r>
        <w:t xml:space="preserve">. Related molecular studies reached the same physical lesson from different structures: two metals can stabilize a bidentate OOH configuration, while bridge and ligand chemistry can shift metal coordination and oxygen binding </w:t>
      </w:r>
      <w:r>
        <w:t xml:space="preserve">[</w:t>
      </w:r>
      <w:hyperlink r:id="rId44">
        <w:r>
          <w:rPr>
            <w:rStyle w:val="Hyperlink"/>
          </w:rPr>
          <w:t xml:space="preserve">10.1021/jacs.4c12705</w:t>
        </w:r>
      </w:hyperlink>
      <w:r>
        <w:t xml:space="preserve">; </w:t>
      </w:r>
      <w:hyperlink r:id="rId16">
        <w:r>
          <w:rPr>
            <w:rStyle w:val="Hyperlink"/>
          </w:rPr>
          <w:t xml:space="preserve">10.1021/acscatal.6c00046</w:t>
        </w:r>
      </w:hyperlink>
      <w:r>
        <w:t xml:space="preserve">]</w:t>
      </w:r>
      <w:r>
        <w:t xml:space="preserve">. These results justify treating metal identity, bridge, diamine, and adsorption center as connected design variables rather than isolated labels.</w:t>
      </w:r>
    </w:p>
    <w:p>
      <w:pPr>
        <w:pStyle w:val="Normal"/>
      </w:pPr>
      <w:r>
        <w:t xml:space="preserve">Zhang and colleagues provide the closest precedent through catalysis-unit engineering </w:t>
      </w:r>
      <w:r>
        <w:t xml:space="preserve">[</w:t>
      </w:r>
      <w:hyperlink r:id="rId41">
        <w:r>
          <w:rPr>
            <w:rStyle w:val="Hyperlink"/>
          </w:rPr>
          <w:t xml:space="preserve">10.1002/adma.202403549</w:t>
        </w:r>
      </w:hyperlink>
      <w:r>
        <w:t xml:space="preserve">]</w:t>
      </w:r>
      <w:r>
        <w:t xml:space="preserve">. They evaluated 60 homonuclear salphen units assembled from ten metals and six coordination environments, calculated OER free energies and scaling relations with DFT, ranked 27 descriptors with XGBoost, and constructed an interpretable SISSO model before incorporating selected Ni and Co units into salphen covalent organic materials. Our ORR study covers 88 molecular catalysts in the DFT stage, includes homo- and heteronuclear metal pairs, resolves adsorption at either metal center, and extends prediction to 1176 optimized structures. The reactions and regression models differ, yet both studies reach the same practical division of labor: DFT supplies internally consistent thermodynamic labels, while ML expands the candidate screen and exposes structural trends.</w:t>
      </w:r>
    </w:p>
    <w:p>
      <w:pPr>
        <w:pStyle w:val="Normal"/>
      </w:pPr>
      <w:r>
        <w:t xml:space="preserve">That division is also visible in recent screening of extended phthalocyanine dual-atom catalysts, where 81 DFT structures supported predictions for 360 additional metal pairs and identified Fe as an adsorption anchor whose neighboring metal regulates activity </w:t>
      </w:r>
      <w:r>
        <w:t xml:space="preserve">[</w:t>
      </w:r>
      <w:hyperlink r:id="rId40">
        <w:r>
          <w:rPr>
            <w:rStyle w:val="Hyperlink"/>
          </w:rPr>
          <w:t xml:space="preserve">10.1002/adma.74833</w:t>
        </w:r>
      </w:hyperlink>
      <w:r>
        <w:t xml:space="preserve">]</w:t>
      </w:r>
      <w:r>
        <w:t xml:space="preserve">. In our data, DFT establishes the favorable </w:t>
      </w:r>
      <w:r>
        <w:rPr/>
        <w:t xml:space="preserve">S</w:t>
      </w:r>
      <w:r>
        <w:t xml:space="preserve"> bridged examples, and ML carries the metal and ligand comparison across an order of magnitude more molecular structures. The regression screen therefore substitutes fast predictions for many preliminary adsorption calculations; targeted DFT and experiment can then concentrate on the families selected from that screen. This is the specific way in which ML accelerates catalyst discovery in the present study.</w:t>
      </w:r>
    </w:p>
    <w:p>
      <w:pPr>
        <w:pStyle w:val="Heading2"/>
      </w:pPr>
      <w:r>
        <w:t xml:space="preserve">3.5. Alternative activity descriptors and reusable DFT data</w:t>
      </w:r>
    </w:p>
    <w:p w14:paraId="7AE6DE31" w14:textId="7F3B581C" w:rsidR="001822C1" w:rsidRDefault="00000000">
      <w:r>
        <w:t xml:space="preserve">The same </w:t>
      </w:r>
      <w:r>
        <w:t xml:space="preserve">adsorption center </w:t>
      </w:r>
      <w:r>
        <w:t xml:space="preserve">matched </w:t>
      </w:r>
      <w:r>
        <w:t xml:space="preserve">DFT </w:t>
      </w:r>
      <w:r>
        <w:t xml:space="preserve">data support </w:t>
      </w:r>
      <w:r>
        <w:t xml:space="preserve">several </w:t>
      </w:r>
      <w:r>
        <w:t xml:space="preserve">thermodynamic </w:t>
      </w:r>
      <w:r>
        <w:t xml:space="preserve">readings </w:t>
      </w:r>
      <w:r>
        <w:t xml:space="preserve">of ORR. The conventional CHE overpotential </w:t>
      </w:r>
      <w:r>
        <w:t xml:space="preserve">is set by </w:t>
      </w:r>
      <w:r>
        <w:t xml:space="preserve">the least favorable individual </w:t>
      </w:r>
      <w:r>
        <w:t xml:space="preserve">reduction </w:t>
      </w:r>
      <w:r>
        <w:t xml:space="preserve">step. Calle-Vallejo's electrochemical step symmetry index </w:t>
      </w:r>
      <w:r>
        <w:t xml:space="preserve">evaluates </w:t>
      </w:r>
      <w:r>
        <w:t xml:space="preserve">how evenly the four step potentials </w:t>
      </w:r>
      <w:r>
        <w:t xml:space="preserve">divide </w:t>
      </w:r>
      <w:r>
        <w:t xml:space="preserve">the 1.23 V reaction free energy, while Exner's free energy span identifies the largest cumulative uphill change across consecutive reaction states at a selected potential </w:t>
      </w:r>
      <w:r>
        <w:t xml:space="preserve">[</w:t>
      </w:r>
      <w:hyperlink r:id="rId55">
        <w:r>
          <w:rPr>
            <w:rStyle w:val="Hyperlink"/>
          </w:rPr>
          <w:t xml:space="preserve">10.1016/j.coelec.2018.03.025</w:t>
        </w:r>
      </w:hyperlink>
      <w:r>
        <w:t xml:space="preserve">; </w:t>
      </w:r>
      <w:hyperlink r:id="rId56">
        <w:r>
          <w:rPr>
            <w:rStyle w:val="Hyperlink"/>
          </w:rPr>
          <w:t xml:space="preserve">10.1021/acscatal.2c03997</w:t>
        </w:r>
      </w:hyperlink>
      <w:r>
        <w:t xml:space="preserve">]</w:t>
      </w:r>
      <w:r>
        <w:t xml:space="preserve">. </w:t>
      </w:r>
      <w:r>
        <w:t xml:space="preserve">Each descriptor asks a </w:t>
      </w:r>
      <w:r>
        <w:t xml:space="preserve">different </w:t>
      </w:r>
      <w:r>
        <w:t xml:space="preserve">question </w:t>
      </w:r>
      <w:r>
        <w:t xml:space="preserve">of the same </w:t>
      </w:r>
      <w:r>
        <w:t xml:space="preserve">verified </w:t>
      </w:r>
      <w:r>
        <w:t xml:space="preserve">adsorption energetics. </w:t>
      </w:r>
      <w:r>
        <w:t xml:space="preserve">Because </w:t>
      </w:r>
      <w:r>
        <w:t xml:space="preserve">molecular </w:t>
      </w:r>
      <w:r>
        <w:t xml:space="preserve">and adsorption-center </w:t>
      </w:r>
      <w:r>
        <w:t xml:space="preserve">identities </w:t>
      </w:r>
      <w:r>
        <w:t xml:space="preserve">remain attached to every </w:t>
      </w:r>
      <w:r>
        <w:t xml:space="preserve">value, another researcher can apply any of these analyses without reconstructing the DFT dataset.</w:t>
      </w:r>
    </w:p>
    <w:p w14:paraId="05E6F5D7" w14:textId="0F16AA5D" w:rsidR="001822C1" w:rsidRDefault="00000000">
      <w:del w:id="4501" w:author="OpenAI Codex" w:date="2026-10-12T23:59:56Z">
        <w:r>
          <w:delText xml:space="preserve">The parent molecular catalyst dataset is available as ASE and JSON records in Zenodo [10.5281/zenodo.18601379]. The five adsorption databases, final screening predictions, and analysis code preserve the molecular and adsorption-center keys required to reproduce Figures 2 and 3. These machine readable records can support CHE, electrochemical step symmetry, free energy span, and future reaction analyses. Reuse can therefore extend the scientific value of the calculations beyond the account selected for this article.</w:delText>
        </w:r>
      </w:del>
      <w:ins w:id="4502" w:author="OpenAI Codex" w:date="2026-10-12T23:59:56Z">
        <w:r>
          <w:t xml:space="preserve">The fixed DFT dataset for 88 molecular catalysts is available from the project </w:t>
        </w:r>
        <w:hyperlink r:id="rId17">
          <w:r>
            <w:rPr>
              <w:rStyle w:val="Hyperlink"/>
            </w:rPr>
            <w:t xml:space="preserve">GitHub repository</w:t>
          </w:r>
        </w:hyperlink>
        <w:r>
          <w:t xml:space="preserve">. The larger dataset used for screening 1176 optimized structures is available at </w:t>
        </w:r>
        <w:hyperlink r:id="rId18">
          <w:r>
            <w:rPr>
              <w:rStyle w:val="Hyperlink"/>
            </w:rPr>
            <w:t xml:space="preserve">Zenodo record 23320178</w:t>
          </w:r>
        </w:hyperlink>
        <w:r>
          <w:t xml:space="preserve">. The matched analysis records preserve the molecular and adsorption center identities required to reproduce the scaling and CHE comparisons and support alternative analyses of ORR.</w:t>
        </w:r>
      </w:ins>
    </w:p>
    <w:p w14:paraId="0871EC49" w14:textId="77777777" w:rsidR="001822C1" w:rsidRDefault="00000000">
      <w:pPr>
        <w:pStyle w:val="Heading2"/>
      </w:pPr>
      <w:r>
        <w:t xml:space="preserve">3.6. </w:t>
      </w:r>
      <w:r>
        <w:t xml:space="preserve">Closing the scientific communication gap</w:t>
      </w:r>
    </w:p>
    <w:p w14:paraId="15826252" w14:textId="10286E10" w:rsidR="001822C1" w:rsidRDefault="00000000">
      <w:r>
        <w:t xml:space="preserve">The catalyst study gives the LLM </w:t>
      </w:r>
      <w:r>
        <w:t xml:space="preserve">verified science </w:t>
      </w:r>
      <w:r>
        <w:t xml:space="preserve">to communicate. DFT </w:t>
      </w:r>
      <w:r>
        <w:t xml:space="preserve">establishes adsorption thermodynamics for a defined molecular library, ML extends screening to 1176 structures, and FAIR records preserve every prediction with its catalyst and adsorption center. The article completes </w:t>
      </w:r>
      <w:r>
        <w:t xml:space="preserve">the </w:t>
      </w:r>
      <w:r>
        <w:t xml:space="preserve">path by connecting </w:t>
      </w:r>
      <w:r>
        <w:t xml:space="preserve">those results to </w:t>
      </w:r>
      <w:r>
        <w:t xml:space="preserve">methods, figures, literature, </w:t>
      </w:r>
      <w:r>
        <w:t xml:space="preserve">and </w:t>
      </w:r>
      <w:r>
        <w:t xml:space="preserve">chemical </w:t>
      </w:r>
      <w:r>
        <w:t xml:space="preserve">interpretation. </w:t>
      </w:r>
      <w:r>
        <w:t xml:space="preserve">Scientific communication </w:t>
      </w:r>
      <w:r>
        <w:t xml:space="preserve">is therefore a practical part </w:t>
      </w:r>
      <w:r>
        <w:t xml:space="preserve">of </w:t>
      </w:r>
      <w:r>
        <w:t xml:space="preserve">accelerating catalyst discovery with AI.</w:t>
      </w:r>
    </w:p>
    <w:p w14:paraId="4602A74D" w14:textId="07729623" w:rsidR="001822C1" w:rsidRDefault="00000000">
      <w:r>
        <w:t xml:space="preserve">Over approximately two weeks, we taught the LLM the project terminology, </w:t>
      </w:r>
      <w:r>
        <w:t xml:space="preserve">evidence hierarchy, </w:t>
      </w:r>
      <w:r>
        <w:t xml:space="preserve">scientific methods, </w:t>
      </w:r>
      <w:r>
        <w:t xml:space="preserve">journal </w:t>
      </w:r>
      <w:r>
        <w:t xml:space="preserve">rules, </w:t>
      </w:r>
      <w:r>
        <w:t xml:space="preserve">figure </w:t>
      </w:r>
      <w:r>
        <w:t xml:space="preserve">standards, </w:t>
      </w:r>
      <w:r>
        <w:t xml:space="preserve">and manuscript voice. We </w:t>
      </w:r>
      <w:r>
        <w:t xml:space="preserve">checked successive </w:t>
      </w:r>
      <w:r>
        <w:t xml:space="preserve">drafts against the ASE </w:t>
      </w:r>
      <w:r>
        <w:t xml:space="preserve">databases, analysis </w:t>
      </w:r>
      <w:r>
        <w:t xml:space="preserve">outputs, literature, and our scientific interpretation. </w:t>
      </w:r>
      <w:r>
        <w:t xml:space="preserve">Those corrections became reusable instructions, and the </w:t>
      </w:r>
      <w:r>
        <w:t xml:space="preserve">consolidated prompt </w:t>
      </w:r>
      <w:r>
        <w:t xml:space="preserve">generated the complete article. The development required sustained human judgment; the final </w:t>
      </w:r>
      <w:r>
        <w:t xml:space="preserve">execution </w:t>
      </w:r>
      <w:r>
        <w:t xml:space="preserve">gathered that judgment into a repeatable writing procedure.</w:t>
      </w:r>
    </w:p>
    <w:p w14:paraId="6ED901B2" w14:textId="441029C3" w:rsidR="001822C1" w:rsidRDefault="00000000">
      <w:r>
        <w:t xml:space="preserve">We chose the research questions, </w:t>
      </w:r>
      <w:r>
        <w:t xml:space="preserve">produced and verified </w:t>
      </w:r>
      <w:r>
        <w:t xml:space="preserve">the DFT </w:t>
      </w:r>
      <w:r>
        <w:t xml:space="preserve">results, directed </w:t>
      </w:r>
      <w:r>
        <w:t xml:space="preserve">the </w:t>
      </w:r>
      <w:r>
        <w:t xml:space="preserve">ML </w:t>
      </w:r>
      <w:r>
        <w:t xml:space="preserve">analysis, </w:t>
      </w:r>
      <w:r>
        <w:t xml:space="preserve">interpreted the structural trends, </w:t>
      </w:r>
      <w:r>
        <w:t xml:space="preserve">and decided what the </w:t>
      </w:r>
      <w:r>
        <w:t xml:space="preserve">evidence supports. </w:t>
      </w:r>
      <w:r>
        <w:t xml:space="preserve">The LLM </w:t>
      </w:r>
      <w:r>
        <w:t xml:space="preserve">composed </w:t>
      </w:r>
      <w:r>
        <w:t xml:space="preserve">the article from those verified inputs. This division </w:t>
      </w:r>
      <w:r>
        <w:t xml:space="preserve">lets </w:t>
      </w:r>
      <w:r>
        <w:t xml:space="preserve">researchers </w:t>
      </w:r>
      <w:r>
        <w:t xml:space="preserve">concentrate on </w:t>
      </w:r>
      <w:r>
        <w:t xml:space="preserve">scientific method </w:t>
      </w:r>
      <w:r>
        <w:t xml:space="preserve">and discovery while a prepared LLM carries </w:t>
      </w:r>
      <w:r>
        <w:t xml:space="preserve">the </w:t>
      </w:r>
      <w:r>
        <w:t xml:space="preserve">writing. The </w:t>
      </w:r>
      <w:r>
        <w:t xml:space="preserve">same </w:t>
      </w:r>
      <w:r>
        <w:t xml:space="preserve">division raises the standard for source traceability, </w:t>
      </w:r>
      <w:r>
        <w:t xml:space="preserve">data </w:t>
      </w:r>
      <w:r>
        <w:t xml:space="preserve">organization, and human review because fluent prose must remain answerable to </w:t>
      </w:r>
      <w:r>
        <w:t xml:space="preserve">the </w:t>
      </w:r>
      <w:r>
        <w:t xml:space="preserve">science.</w:t>
      </w:r>
    </w:p>
    <w:p w14:paraId="162309DF" w14:textId="77777777" w:rsidR="001822C1" w:rsidRDefault="00000000">
      <w:pPr>
        <w:pStyle w:val="Heading1"/>
      </w:pPr>
      <w:r>
        <w:t>4. Conclusions</w:t>
      </w:r>
    </w:p>
    <w:p w14:paraId="593E5B65" w14:textId="2B896240" w:rsidR="001822C1" w:rsidRDefault="00000000">
      <w:r>
        <w:t xml:space="preserve">Accelerating catalyst discovery with artificial intelligence means shortening the path from trustworthy evidence to reusable knowledge. Our molecular DASC case study completed that path in three stages: DFT established adsorption thermodynamics for 88 catalysts, ML extended the screen to 1176 optimized structures, and a </w:t>
      </w:r>
      <w:r>
        <w:t xml:space="preserve">guided LLM </w:t>
      </w:r>
      <w:r>
        <w:t xml:space="preserve">generated the complete </w:t>
      </w:r>
      <w:r>
        <w:t xml:space="preserve">article from the verified </w:t>
      </w:r>
      <w:r>
        <w:t xml:space="preserve">results. The article itself </w:t>
      </w:r>
      <w:r>
        <w:t xml:space="preserve">is the </w:t>
      </w:r>
      <w:r>
        <w:t xml:space="preserve">principal demonstration. Scientific communication can be delegated after </w:t>
      </w:r>
      <w:r>
        <w:t xml:space="preserve">researchers </w:t>
      </w:r>
      <w:r>
        <w:t xml:space="preserve">have made </w:t>
      </w:r>
      <w:r>
        <w:t xml:space="preserve">the </w:t>
      </w:r>
      <w:r>
        <w:t xml:space="preserve">evidence, methods, </w:t>
      </w:r>
      <w:r>
        <w:t xml:space="preserve">sources, </w:t>
      </w:r>
      <w:r>
        <w:t xml:space="preserve">and </w:t>
      </w:r>
      <w:r>
        <w:t xml:space="preserve">interpretive limits explicit.</w:t>
      </w:r>
    </w:p>
    <w:p w14:paraId="4845120D" w14:textId="4EB72DCE" w:rsidR="001822C1" w:rsidRDefault="00000000">
      <w:r>
        <w:t xml:space="preserve">The </w:t>
      </w:r>
      <w:r>
        <w:t xml:space="preserve">DFT calculations </w:t>
      </w:r>
      <w:r>
        <w:t xml:space="preserve">prioritized </w:t>
      </w:r>
      <w:r>
        <w:t xml:space="preserve">three </w:t>
      </w:r>
      <w:r>
        <w:rPr/>
        <w:t xml:space="preserve">S</w:t>
      </w:r>
      <w:r>
        <w:t xml:space="preserve"> bridged </w:t>
      </w:r>
      <w:r>
        <w:t xml:space="preserve">molecular </w:t>
      </w:r>
      <w:r>
        <w:t xml:space="preserve">catalysts </w:t>
      </w:r>
      <w:r>
        <w:t xml:space="preserve">with calculated ORR overpotentials of 0.34, 0.39, and 0.41 V. </w:t>
      </w:r>
      <w:r>
        <w:t xml:space="preserve">The </w:t>
      </w:r>
      <w:r>
        <w:t xml:space="preserve">ML </w:t>
      </w:r>
      <w:r>
        <w:t xml:space="preserve">screen </w:t>
      </w:r>
      <w:r>
        <w:t xml:space="preserve">identified </w:t>
      </w:r>
      <w:r>
        <w:t xml:space="preserve">Fe adsorption centers as the dominant feature of its lowest predicted decile, with </w:t>
      </w:r>
      <w:r>
        <w:rPr/>
        <w:t xml:space="preserve">S</w:t>
      </w:r>
      <w:r>
        <w:t xml:space="preserve"> bridge atoms favored </w:t>
      </w:r>
      <w:r>
        <w:t xml:space="preserve">and </w:t>
      </w:r>
      <w:r>
        <w:t xml:space="preserve">B1 diamine a secondary preference. FAIR ASE and JSON records keep these results available for other descriptors, comparisons, and reactions. Human researchers remain </w:t>
      </w:r>
      <w:r>
        <w:t xml:space="preserve">the </w:t>
      </w:r>
      <w:r>
        <w:t xml:space="preserve">authors of the scientific questions and judgments; the LLM carries the prose. This use of AI returns time </w:t>
      </w:r>
      <w:r>
        <w:t xml:space="preserve">to </w:t>
      </w:r>
      <w:r>
        <w:t xml:space="preserve">scientific investigation while bringing verified results into reusable form sooner.</w:t>
      </w:r>
    </w:p>
    <w:p w14:paraId="1CD246D4" w14:textId="77777777" w:rsidR="001822C1" w:rsidRDefault="00000000">
      <w:pPr>
        <w:pStyle w:val="Heading1"/>
      </w:pPr>
      <w:r>
        <w:t>CRediT authorship contribution statement</w:t>
      </w:r>
    </w:p>
    <w:p w14:paraId="49F3FF24" w14:textId="51BD3C3E" w:rsidR="001822C1" w:rsidRDefault="00000000">
      <w: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validated and approved the final manuscript text.</w:t>
      </w:r>
    </w:p>
    <w:p w14:paraId="308FF6E6" w14:textId="77777777" w:rsidR="001822C1" w:rsidRDefault="00000000">
      <w:pPr>
        <w:pStyle w:val="Heading1"/>
      </w:pPr>
      <w:r>
        <w:t>Declaration of competing interest</w:t>
      </w:r>
    </w:p>
    <w:p w14:paraId="1DFFA1D6" w14:textId="77777777" w:rsidR="001822C1" w:rsidRDefault="00000000">
      <w:r>
        <w:t>The authors declare no competing interests.</w:t>
      </w:r>
    </w:p>
    <w:p w14:paraId="72F03EC5" w14:textId="77777777" w:rsidR="001822C1" w:rsidRDefault="00000000">
      <w:pPr>
        <w:pStyle w:val="Heading1"/>
      </w:pPr>
      <w:r>
        <w:t>Data availability</w:t>
      </w:r>
    </w:p>
    <w:p w14:paraId="05A4F5F8" w14:textId="741F4539" w:rsidR="001822C1" w:rsidRDefault="00000000">
      <w:del w:id="4503" w:author="OpenAI Codex" w:date="2026-10-12T23:59:56Z">
        <w:r>
          <w:delText xml:space="preserve">The parent molecular dual-atom site catalyst dataset is available from Zenodo [10.5281/zenodo.18601379]. The DFT analysis used the five ASE databases described in this article. The corresponding adsorption data, JSON records, analysis code, ridge model parameters, and final predictions are associated with the article data release. The separate clean catalyst database contains 1176 optimized molecular structures: https://github.com/doublelayer/ACSEnergyLetters_2026_resonance/raw/refs/heads/main/DASC_Bare_Catalysts_RPBE_D4.db.</w:delText>
        </w:r>
      </w:del>
      <w:ins w:id="4504" w:author="OpenAI Codex" w:date="2026-10-12T23:59:56Z">
        <w:r>
          <w:t xml:space="preserve">The fixed DFT dataset for 88 molecular catalysts is available from the project </w:t>
        </w:r>
        <w:hyperlink r:id="rId17">
          <w:r>
            <w:rPr>
              <w:rStyle w:val="Hyperlink"/>
            </w:rPr>
            <w:t xml:space="preserve">GitHub repository</w:t>
          </w:r>
        </w:hyperlink>
        <w:r>
          <w:t xml:space="preserve">. The larger dataset used for screening 1176 optimized structures is available at </w:t>
        </w:r>
        <w:hyperlink r:id="rId18">
          <w:r>
            <w:rPr>
              <w:rStyle w:val="Hyperlink"/>
            </w:rPr>
            <w:t xml:space="preserve">Zenodo record 23320178</w:t>
          </w:r>
        </w:hyperlink>
        <w:r>
          <w:t xml:space="preserve">.</w:t>
        </w:r>
      </w:ins>
    </w:p>
    <w:p w14:paraId="247CDBE0" w14:textId="77777777" w:rsidR="001822C1" w:rsidRDefault="00000000">
      <w:pPr>
        <w:pStyle w:val="Heading1"/>
      </w:pPr>
      <w:r>
        <w:t>Declaration of generative AI and AI assisted technologies in the manuscript preparation process</w:t>
      </w:r>
    </w:p>
    <w:p w14:paraId="650BDD5D" w14:textId="4B4AF1A6" w:rsidR="001822C1" w:rsidRDefault="00000000">
      <w:r>
        <w:t xml:space="preserve">During the preparation of this work, OpenAI Codex with an LLM was used to organize and write the complete scientific article and to assist with </w:t>
      </w:r>
      <w:r>
        <w:t xml:space="preserve">reproducible </w:t>
      </w:r>
      <w:r>
        <w:t xml:space="preserve">analysis and figure code from the project data, </w:t>
      </w:r>
      <w:r>
        <w:t xml:space="preserve">literature, </w:t>
      </w:r>
      <w:r>
        <w:t xml:space="preserve">and instructions. The human authors reviewed the text against the calculations, model predictions, methods, figures, and </w:t>
      </w:r>
      <w:r>
        <w:t xml:space="preserve">sources </w:t>
      </w:r>
      <w:r>
        <w:t xml:space="preserve">and take full responsibility for the article's content.</w:t>
      </w:r>
    </w:p>
    <w:p w14:paraId="13383372" w14:textId="77777777" w:rsidR="001822C1" w:rsidRDefault="00000000">
      <w:pPr>
        <w:pStyle w:val="Heading1"/>
      </w:pPr>
      <w:r>
        <w:t>Acknowledgments</w:t>
      </w:r>
    </w:p>
    <w:p w14:paraId="6E1A5D26" w14:textId="77777777" w:rsidR="001822C1" w:rsidRDefault="00000000">
      <w: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14:paraId="0474789D" w14:textId="77777777" w:rsidR="001822C1" w:rsidRDefault="00000000">
      <w:pPr>
        <w:pStyle w:val="Heading1"/>
      </w:pPr>
      <w:r>
        <w:t>References</w:t>
      </w:r>
    </w:p>
    <w:p w14:paraId="0343D19E" w14:textId="77777777" w:rsidR="001822C1" w:rsidRDefault="00000000">
      <w:r>
        <w:t>S. Jia et al., Machine Learning Reveals Role-Asymmetric Electronic Cooperation in Fe-Based Dual-Atom Catalysts, Advanced Materials 36 (2026) e74833. [</w:t>
      </w:r>
      <w:hyperlink r:id="rId40">
        <w:r w:rsidR="001822C1">
          <w:rPr>
            <w:rStyle w:val="Hyperlink"/>
          </w:rPr>
          <w:t>10.1002/adma.74833</w:t>
        </w:r>
      </w:hyperlink>
      <w:r>
        <w:t>]</w:t>
      </w:r>
    </w:p>
    <w:p w14:paraId="5BCD3ED0" w14:textId="77777777" w:rsidR="001822C1" w:rsidRDefault="00000000">
      <w:r>
        <w:t>Z. Zhang et al., Design and Synthesis of Electrocatalysts Based on Catalysis-Unit Engineering, Advanced Materials 36 (2024) 2403549. [</w:t>
      </w:r>
      <w:hyperlink r:id="rId41">
        <w:r w:rsidR="001822C1">
          <w:rPr>
            <w:rStyle w:val="Hyperlink"/>
          </w:rPr>
          <w:t>10.1002/adma.202403549</w:t>
        </w:r>
      </w:hyperlink>
      <w:r>
        <w:t>]</w:t>
      </w:r>
    </w:p>
    <w:p w14:paraId="6BEF960B" w14:textId="77777777" w:rsidR="001822C1" w:rsidRDefault="00000000">
      <w:r>
        <w:t>X. Chen et al., Leveraging DFT and Machine Learning for Accelerated Screening of Cluster-Modified Single-Atom Catalysts in Oxygen Reduction Reactions, ACS Catalysis 16 (2026) 14399–14410. [</w:t>
      </w:r>
      <w:hyperlink r:id="rId42">
        <w:r w:rsidR="001822C1">
          <w:rPr>
            <w:rStyle w:val="Hyperlink"/>
          </w:rPr>
          <w:t>10.1021/acscatal.6c02383</w:t>
        </w:r>
      </w:hyperlink>
      <w:r>
        <w:t>]</w:t>
      </w:r>
    </w:p>
    <w:p w14:paraId="615C04BA" w14:textId="77777777" w:rsidR="001822C1" w:rsidRDefault="00000000">
      <w:r>
        <w:t>J. K. Nørskov, J. Rossmeisl, A. Logadottir, L. Lindqvist, J. R. Kitchin, T. Bligaard, H. Jónsson, Origin of the Overpotential for Oxygen Reduction at a Fuel-Cell Cathode, Journal of Physical Chemistry B 108 (2004) 17886–17892. [</w:t>
      </w:r>
      <w:hyperlink r:id="rId43">
        <w:r w:rsidR="001822C1">
          <w:rPr>
            <w:rStyle w:val="Hyperlink"/>
          </w:rPr>
          <w:t>10.1021/jp047349j</w:t>
        </w:r>
      </w:hyperlink>
      <w:r>
        <w:t>]</w:t>
      </w:r>
    </w:p>
    <w:p w14:paraId="222E4098" w14:textId="77777777" w:rsidR="001822C1" w:rsidRDefault="00000000">
      <w:r>
        <w:t>Q. Sun et al., Well-Defined Co₂ Dual-Atom Catalyst Breaks Scaling Relations of Oxygen Reduction Reaction, Journal of the American Chemical Society 146 (2024) 35295–35304. [</w:t>
      </w:r>
      <w:hyperlink r:id="rId44">
        <w:r w:rsidR="001822C1">
          <w:rPr>
            <w:rStyle w:val="Hyperlink"/>
          </w:rPr>
          <w:t>10.1021/jacs.4c12705</w:t>
        </w:r>
      </w:hyperlink>
      <w:r>
        <w:t>]</w:t>
      </w:r>
    </w:p>
    <w:p w14:paraId="6370C5B5" w14:textId="77777777" w:rsidR="001822C1" w:rsidRDefault="00000000">
      <w:r>
        <w:t>N. Žoglo et al., Intersite Geometry Controls Activity and Selectivity in the Oxygen Reduction Reaction on Dual-Atom-Site Catalysts, ChemRxiv preprint (2026). [</w:t>
      </w:r>
      <w:hyperlink r:id="rId45">
        <w:r w:rsidR="001822C1">
          <w:rPr>
            <w:rStyle w:val="Hyperlink"/>
          </w:rPr>
          <w:t>10.26434/chemrxiv.15001712/v1</w:t>
        </w:r>
      </w:hyperlink>
      <w:r>
        <w:t>]</w:t>
      </w:r>
    </w:p>
    <w:p w14:paraId="785D9D52" w14:textId="77777777" w:rsidR="001822C1" w:rsidRDefault="00000000">
      <w:r>
        <w:t>L. X. Chen, P. Christopher, F. De Angelis, S. Jin, Y.-S. Hu, N.-G. Park, D. Das Sarma, Y.-K. Sun, P. V. Kamat, We Editors Are Authors, Too, ACS Energy Letters 4 (2019) 249–250. [</w:t>
      </w:r>
      <w:hyperlink r:id="rId46">
        <w:r w:rsidR="001822C1">
          <w:rPr>
            <w:rStyle w:val="Hyperlink"/>
          </w:rPr>
          <w:t>10.1021/acsenergylett.8b02322</w:t>
        </w:r>
      </w:hyperlink>
      <w:r>
        <w:t>]</w:t>
      </w:r>
    </w:p>
    <w:p w14:paraId="3A695A8F" w14:textId="77777777" w:rsidR="001822C1" w:rsidRDefault="00000000">
      <w:r>
        <w:t>Elements of style, Nature Physics 3 (2007) 581. [</w:t>
      </w:r>
      <w:hyperlink r:id="rId47">
        <w:r w:rsidR="001822C1">
          <w:rPr>
            <w:rStyle w:val="Hyperlink"/>
          </w:rPr>
          <w:t>10.1038/nphys724</w:t>
        </w:r>
      </w:hyperlink>
      <w:r>
        <w:t>]</w:t>
      </w:r>
    </w:p>
    <w:p w14:paraId="76C3FEE1" w14:textId="77777777" w:rsidR="001822C1" w:rsidRDefault="00000000">
      <w:r>
        <w:t>C. M. Biegel, P. V. Kamat, Five common pitfalls to avoid while composing scientific figures, ACS Energy Letters 6 (2021) 4309–4310. [</w:t>
      </w:r>
      <w:hyperlink r:id="rId48">
        <w:r w:rsidR="001822C1">
          <w:rPr>
            <w:rStyle w:val="Hyperlink"/>
          </w:rPr>
          <w:t>10.1021/acsenergylett.1c02401</w:t>
        </w:r>
      </w:hyperlink>
      <w:r>
        <w:t>]</w:t>
      </w:r>
    </w:p>
    <w:p w14:paraId="58160342" w14:textId="77777777" w:rsidR="001822C1" w:rsidRDefault="00000000">
      <w:r>
        <w:t>Storytelling in research, Nature Biomedical Engineering 2 (2018) 53. [</w:t>
      </w:r>
      <w:hyperlink r:id="rId49">
        <w:r w:rsidR="001822C1">
          <w:rPr>
            <w:rStyle w:val="Hyperlink"/>
          </w:rPr>
          <w:t>10.1038/s41551-018-0202-5</w:t>
        </w:r>
      </w:hyperlink>
      <w:r>
        <w:t>]</w:t>
      </w:r>
    </w:p>
    <w:p w14:paraId="5F87EF30" w14:textId="77777777" w:rsidR="001822C1" w:rsidRDefault="00000000">
      <w:r>
        <w:t>Should scientists tell stories?, Nature Methods 10 (2013) 1037. [</w:t>
      </w:r>
      <w:hyperlink r:id="rId50">
        <w:r w:rsidR="001822C1">
          <w:rPr>
            <w:rStyle w:val="Hyperlink"/>
          </w:rPr>
          <w:t>10.1038/nmeth.2726</w:t>
        </w:r>
      </w:hyperlink>
      <w:r>
        <w:t>]</w:t>
      </w:r>
    </w:p>
    <w:p w14:paraId="7CEFFA12" w14:textId="77777777" w:rsidR="001822C1" w:rsidRDefault="00000000">
      <w:r>
        <w:t>B. L. Nguyen, T. K. Madsen, V. Ivanistsev, N. Kongi, Dataset of molecular dual-atom site complexes for catalysis, Data in Brief 66 (2026) 112806. [</w:t>
      </w:r>
      <w:hyperlink r:id="rId51">
        <w:r w:rsidR="001822C1">
          <w:rPr>
            <w:rStyle w:val="Hyperlink"/>
          </w:rPr>
          <w:t>10.1016/j.dib.2026.112806</w:t>
        </w:r>
      </w:hyperlink>
      <w:r>
        <w:t>]</w:t>
      </w:r>
    </w:p>
    <w:p w14:paraId="1D598B7D" w14:textId="77777777" w:rsidR="001822C1" w:rsidRDefault="00000000">
      <w:r>
        <w:t>J. J. Mortensen et al., GPAW: An open Python package for electronic structure calculations, Journal of Chemical Physics 160 (2024) 092503. [</w:t>
      </w:r>
      <w:hyperlink r:id="rId52">
        <w:r w:rsidR="001822C1">
          <w:rPr>
            <w:rStyle w:val="Hyperlink"/>
          </w:rPr>
          <w:t>10.1063/5.0182685</w:t>
        </w:r>
      </w:hyperlink>
      <w:r>
        <w:t>]</w:t>
      </w:r>
    </w:p>
    <w:p w14:paraId="0F48F322" w14:textId="77777777" w:rsidR="001822C1" w:rsidRDefault="00000000">
      <w:r>
        <w:t>A. H. Larsen et al., The Atomic Simulation Environment—A Python Library for Working with Atoms, Journal of Physics: Condensed Matter 29 (2017) 273002. [</w:t>
      </w:r>
      <w:hyperlink r:id="rId53">
        <w:r w:rsidR="001822C1">
          <w:rPr>
            <w:rStyle w:val="Hyperlink"/>
          </w:rPr>
          <w:t>10.1088/1361-648X/aa680e</w:t>
        </w:r>
      </w:hyperlink>
      <w:r>
        <w:t>]</w:t>
      </w:r>
    </w:p>
    <w:p w14:paraId="7CA42615" w14:textId="77777777" w:rsidR="001822C1" w:rsidRDefault="00000000">
      <w:r>
        <w:t>E. Caldeweyher, S. Ehlert, A. Hansen, H. Neugebauer, S. Spicher, C. Bannwarth, S. Grimme, A generally applicable atomic-charge dependent London dispersion correction, Journal of Chemical Physics 150 (2019) 154122. [</w:t>
      </w:r>
      <w:hyperlink r:id="rId54">
        <w:r w:rsidR="001822C1">
          <w:rPr>
            <w:rStyle w:val="Hyperlink"/>
          </w:rPr>
          <w:t>10.1063/1.5090222</w:t>
        </w:r>
      </w:hyperlink>
      <w:r>
        <w:t>]</w:t>
      </w:r>
    </w:p>
    <w:p w14:paraId="4055DF73" w14:textId="77777777" w:rsidR="001822C1" w:rsidRDefault="00000000">
      <w:r>
        <w:t>N. Govindarajan, J. M. García-Lastra, E. J. Meijer, F. Calle-Vallejo, Does the breaking of adsorption energy scaling relations guarantee enhanced electrocatalysis?, Current Opinion in Electrochemistry 8 (2018) 110–117. [</w:t>
      </w:r>
      <w:hyperlink r:id="rId55">
        <w:r w:rsidR="001822C1">
          <w:rPr>
            <w:rStyle w:val="Hyperlink"/>
          </w:rPr>
          <w:t>10.1016/j.coelec.2018.03.025</w:t>
        </w:r>
      </w:hyperlink>
      <w:r>
        <w:t>]</w:t>
      </w:r>
    </w:p>
    <w:p w14:paraId="396A274E" w14:textId="77777777" w:rsidR="001822C1" w:rsidRDefault="00000000">
      <w:r>
        <w:t>S. Razzaq, K. S. Exner, Materials screening by the descriptor Gmax(η): The free energy span model in electrocatalysis, ACS Catalysis 13 (2023) 1740–1758. [</w:t>
      </w:r>
      <w:hyperlink r:id="rId56">
        <w:r w:rsidR="001822C1">
          <w:rPr>
            <w:rStyle w:val="Hyperlink"/>
          </w:rPr>
          <w:t>10.1021/acscatal.2c03997</w:t>
        </w:r>
      </w:hyperlink>
      <w:r>
        <w:t>]</w:t>
      </w:r>
    </w:p>
    <w:p w14:paraId="38729DB9" w14:textId="77777777" w:rsidR="001822C1" w:rsidRDefault="00000000">
      <w:r>
        <w:lastRenderedPageBreak/>
        <w:t>M. D. Wilkinson et al., The FAIR guiding principles for scientific data management and stewardship, Scientific Data 3 (2016) 160018. [</w:t>
      </w:r>
      <w:hyperlink r:id="rId57">
        <w:r w:rsidR="001822C1">
          <w:rPr>
            <w:rStyle w:val="Hyperlink"/>
          </w:rPr>
          <w:t>10.1038/sdata.2016.18</w:t>
        </w:r>
      </w:hyperlink>
      <w:r>
        <w:t>]</w:t>
      </w:r>
    </w:p>
    <w:p w14:paraId="20199980" w14:textId="77777777" w:rsidR="001822C1" w:rsidRDefault="00000000">
      <w:pPr>
        <w:rPr>
          <w:del w:id="4506" w:author="OpenAI Codex" w:date="2026-10-12T23:59:56Z"/>
        </w:rPr>
      </w:pPr>
      <w:del w:id="4505" w:author="OpenAI Codex" w:date="2026-10-12T23:59:56Z">
        <w:r>
          <w:delText xml:space="preserve">[dataset] B. L. Nguyen, T. K. Madsen, V. Ivanistsev, N. Kongi, Dataset of molecular dual-atom site complexes for catalysis, Zenodo, version 1.0, 2026. [10.5281/zenodo.18601379]</w:delText>
        </w:r>
      </w:del>
    </w:p>
    <w:p w14:paraId="11228E6E" w14:textId="77777777" w:rsidR="001822C1" w:rsidRDefault="00000000">
      <w:r>
        <w:t>D. Kobak, R. González-Márquez, E.-Á. Horvát, J. Lause, Delving into LLM-assisted writing in biomedical publications through excess vocabulary, Science Advances 11 (2025) eadt3813. [</w:t>
      </w:r>
      <w:hyperlink r:id="rId59">
        <w:r w:rsidR="001822C1">
          <w:rPr>
            <w:rStyle w:val="Hyperlink"/>
          </w:rPr>
          <w:t>10.1126/sciadv.adt3813</w:t>
        </w:r>
      </w:hyperlink>
      <w:r>
        <w:t>]</w:t>
      </w:r>
    </w:p>
    <w:p w14:paraId="75BEDE03" w14:textId="77777777" w:rsidR="001822C1" w:rsidRDefault="00000000">
      <w:r>
        <w:rPr>
          <w:i/>
        </w:rPr>
        <w:t>T</w:t>
      </w:r>
      <w:r>
        <w:t>. Ifargan, L. Hafner, M. Kern, O. Alcalay, R. Kishony, Autonomous LLM-Driven Research: from Data to Human-Verifiable Research Papers, NEJM AI 2 (2025). [</w:t>
      </w:r>
      <w:hyperlink r:id="rId60">
        <w:r w:rsidR="001822C1">
          <w:rPr>
            <w:rStyle w:val="Hyperlink"/>
          </w:rPr>
          <w:t>10.1056/aioa2400555</w:t>
        </w:r>
      </w:hyperlink>
      <w:r>
        <w:t>]</w:t>
      </w:r>
    </w:p>
    <w:p w14:paraId="365800F1" w14:textId="77777777" w:rsidR="001822C1" w:rsidRDefault="00000000">
      <w:r>
        <w:t>B.-C. Björk, D. Solomon, The publishing delay in scholarly peer-reviewed journals, Journal of Informetrics 7 (2013) 914–923. [</w:t>
      </w:r>
      <w:hyperlink r:id="rId61">
        <w:r w:rsidR="001822C1">
          <w:rPr>
            <w:rStyle w:val="Hyperlink"/>
          </w:rPr>
          <w:t>10.1016/j.joi.2013.09.001</w:t>
        </w:r>
      </w:hyperlink>
      <w:r>
        <w:t>]</w:t>
      </w:r>
    </w:p>
    <w:p w14:paraId="6928EE19" w14:textId="77777777" w:rsidR="001822C1" w:rsidRDefault="00000000">
      <w:r>
        <w:t>J. Ding, D. Du, A study of the correlation between publication delays and measurement indicators of journal articles in the social network environment: based on online data in PLOS, Scientometrics 128 (2023) 1711–1743. [</w:t>
      </w:r>
      <w:hyperlink r:id="rId62">
        <w:r w:rsidR="001822C1">
          <w:rPr>
            <w:rStyle w:val="Hyperlink"/>
          </w:rPr>
          <w:t>10.1007/s11192-023-04640-6</w:t>
        </w:r>
      </w:hyperlink>
      <w:r>
        <w:t>]</w:t>
      </w:r>
    </w:p>
    <w:sectPr w:rsidR="001822C1">
      <w:footerReference w:type="default" r:id="rId63"/>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E41F" w14:textId="77777777" w:rsidR="00BC5CD3" w:rsidRDefault="00BC5CD3">
      <w:pPr>
        <w:spacing w:after="0" w:line="240" w:lineRule="auto"/>
      </w:pPr>
      <w:r>
        <w:separator/>
      </w:r>
    </w:p>
  </w:endnote>
  <w:endnote w:type="continuationSeparator" w:id="0">
    <w:p w14:paraId="6A270379" w14:textId="77777777" w:rsidR="00BC5CD3" w:rsidRDefault="00BC5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A3D26A5A-922A-48CA-A0D4-564F257F65AF}"/>
    <w:embedBold r:id="rId2" w:fontKey="{B02CE9D9-DCF9-4376-922B-1206EF4A0499}"/>
    <w:embedItalic r:id="rId3" w:fontKey="{079172AB-395D-4813-8FE5-FEEF77E6D766}"/>
    <w:embedBoldItalic r:id="rId4" w:fontKey="{5F323C2D-56AF-433F-8676-BE63D2A9CCAE}"/>
  </w:font>
  <w:font w:name="Calibri">
    <w:panose1 w:val="020F0502020204030204"/>
    <w:charset w:val="00"/>
    <w:family w:val="swiss"/>
    <w:pitch w:val="variable"/>
    <w:sig w:usb0="E4002EFF" w:usb1="C200247B" w:usb2="00000009" w:usb3="00000000" w:csb0="000001FF" w:csb1="00000000"/>
    <w:embedRegular r:id="rId5" w:fontKey="{BF2AF13D-F9AE-4A86-BFB9-964E2A06FFC6}"/>
    <w:embedBold r:id="rId6" w:fontKey="{75CEF2D7-F681-439F-9F16-3FADE248B82C}"/>
    <w:embedItalic r:id="rId7" w:fontKey="{232C30DD-3E43-42DA-B049-7486CFE7D988}"/>
    <w:embedBoldItalic r:id="rId8" w:fontKey="{96735021-C40A-4BDA-B33F-1F1284B731AB}"/>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8129B83E-089E-45F3-ABB8-78E2ED60DDEC}"/>
    <w:embedItalic r:id="rId10" w:fontKey="{AD8F6226-86C8-4D76-81C7-EC48E1F892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8AB7" w14:textId="77777777" w:rsidR="001822C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A1E4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3CE2C" w14:textId="77777777" w:rsidR="00BC5CD3" w:rsidRDefault="00BC5CD3">
      <w:pPr>
        <w:spacing w:after="0" w:line="240" w:lineRule="auto"/>
      </w:pPr>
      <w:r>
        <w:separator/>
      </w:r>
    </w:p>
  </w:footnote>
  <w:footnote w:type="continuationSeparator" w:id="0">
    <w:p w14:paraId="1695CC83" w14:textId="77777777" w:rsidR="00BC5CD3" w:rsidRDefault="00BC5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DD3"/>
    <w:multiLevelType w:val="multilevel"/>
    <w:tmpl w:val="22BE23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70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slav Ivaništšev">
    <w15:presenceInfo w15:providerId="AD" w15:userId="S::vi@ut.ee::3ca693f9-c677-4ebb-b57a-f0a106fe10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 and Design&quot;,&quot;context&quot;:&quot;Accelerating Catalyst Discovery and Design with Artificial Intelligence: Molecular Dual-Atom Site Catalysts as a Case Study&quot;,&quot;author&quot;:&quot;Vladislav Ivanistsev&quot;}"/>
    <w:docVar w:name="UserAcceptedEdit_002" w:val="{&quot;operation&quot;:&quot;delete&quot;,&quot;text&quot;:&quot; at identified metal sites&quot;,&quot;context&quot;:&quot;Artificial intelligence (AI) can accelerate catalyst discovery and design when it connects reliable data to scientific decisions and clear communication. We demonstrate this genera&quot;,&quot;author&quot;:&quot;Vladislav Ivanistsev&quot;}"/>
    <w:docVar w:name="UserAcceptedEdit_003" w:val="{&quot;operation&quot;:&quot;delete&quot;,&quot;text&quot;:&quot;We&quot;,&quot;context&quot;:&quot;Artificial intelligence (AI) can accelerate catalyst discovery and design when it connects reliable data to scientific decisions and clear communication. We demonstrate this genera&quot;,&quot;author&quot;:&quot;Vladislav Ivanistsev&quot;}"/>
    <w:docVar w:name="UserAcceptedEdit_004" w:val="{&quot;operation&quot;:&quot;delete&quot;,&quot;text&quot;:&quot; and design&quot;,&quot;context&quot;:&quot;Using molecular dual-atom site catalysts as a case study, we show how AI can accelerate catalyst discovery and design from electronic structure calculations through regression anal&quot;,&quot;author&quot;:&quot;Vladislav Ivanistsev&quot;}"/>
    <w:docVar w:name="UserAcceptedEdit_005" w:val="{&quot;operation&quot;:&quot;delete&quot;,&quot;text&quot;:&quot;e and adsorption site&quot;,&quot;context&quot;:&quot;Using molecular dual-atom site catalysts as a case study, we show how AI can accelerate catalyst discovery from electronic structure calculations through regression analysis and pu&quot;,&quot;author&quot;:&quot;Vladislav Ivanistsev&quot;}"/>
    <w:docVar w:name="UserAcceptedEdit_006" w:val="{&quot;operation&quot;:&quot;delete&quot;,&quot;text&quot;:&quot;result&quot;,&quot;context&quot;:&quot;The broader insight of this articleresult concerns how research becomes a paper. It is a consensus that Editors are right that readers need a coherent scientific story. Here, Wwe s&quot;,&quot;author&quot;:&quot;Vladislav Ivanistsev&quot;}"/>
    <w:docVar w:name="UserAcceptedEdit_007" w:val="{&quot;operation&quot;:&quot;delete&quot;,&quot;text&quot;:&quot;Editors are right that &quot;,&quot;context&quot;:&quot;The broader insight of this article concerns how research becomes a paper. It is a consensus that Editors are right that readers need a coherent scientific story. Here, Wwe show th&quot;,&quot;author&quot;:&quot;Vladislav Ivanistsev&quot;}"/>
    <w:docVar w:name="UserAcceptedEdit_008" w:val="{&quot;operation&quot;:&quot;delete&quot;,&quot;text&quot;:&quot;W&quot;,&quot;context&quot;:&quot;The broader insight of this article concerns how research becomes a paper. It is a consensus that readers need a coherent scientific story. Here, Wwe show that researchers do not n&quot;,&quot;author&quot;:&quot;Vladislav Ivanistsev&quot;}"/>
    <w:docVar w:name="UserAcceptedEdit_009" w:val="{&quot;operation&quot;:&quot;delete&quot;,&quot;text&quot;:&quot;scienc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0" w:val="{&quot;operation&quot;:&quot;delete&quot;,&quot;text&quot;:&quot;R&quot;,&quot;context&quot;:&quot;The broader insight of this article concerns how research becomes a paper. It is a consensus that readers need a coherent scientific story. Here, we show that researchers do not ne&quot;,&quot;author&quot;:&quot;Vladislav Ivanistsev&quot;}"/>
    <w:docVar w:name="UserAcceptedEdit_011" w:val="{&quot;operation&quot;:&quot;delete&quot;,&quot;text&quot;:&quot; must decid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2" w:val="{&quot;operation&quot;:&quot;delete&quot;,&quot;text&quot;:&quot;and &quot;,&quot;context&quot;:&quot;Bruno Inácio da Silva Roux Leite: investigation, data curation, formal analysis, and generation of DFT results. Denis Savchenko: methodology, software, formal analysis, visualizati&quot;,&quot;author&quot;:&quot;Vladislav Ivanistsev&quot;}"/>
    <w:docVar w:name="UserAcceptedEdit_013" w:val="{&quot;operation&quot;:&quot;delete&quot;,&quot;text&quot;:&quot;funding acquisition&quot;,&quot;context&quot;:&quot;Bruno Inácio da Silva Roux Leite: investigation, data curation, formal analysis, and generation of DFT results. Denis Savchenko: methodology, software, formal analysis, visualizati&quot;,&quot;author&quot;:&quot;Vladislav Ivanistsev&quot;}"/>
    <w:docVar w:name="UserRule_v38CatalystScope" w:val="The fixed DFT library contains 88 catalysts. The separate screening database contains 1176 structures, including 1089 absent from the DFT library. Wider predictions remain pending."/>
    <w:docVar w:name="UserRule_v38Communication" w:val="Distinguish iterative human-guided development from execution using one final prompt. Human authors verify the science and retain responsibility."/>
    <w:docVar w:name="UserRule_v38EquationLayout" w:val="Place every native Word equation and its right-aligned number in one paragraph and on the same line."/>
    <w:docVar w:name="UserRule_v38Goal" w:val="The main proof is generation of the complete article from one final prompt; DFT establishes the reusable scientific record and ML extends the catalyst investigation."/>
    <w:docVar w:name="UserRule_v38Terminology" w:val="Use DFT calculations, ML predictions, and data records only for retrievable ASE or JSON entries. Each DASC has one dual-atom site with two metal-atom adsorption centers."/>
    <w:docVar w:name="UserAcceptedEdit_014" w:val="{&quot;operation&quot;:&quot;delete&quot;,&quot;text&quot;:&quot;available for reuse&quot;,&quot;context&quot;:&quot;Scientific discovery advances when researchers produce trustworthy evidence and make it available for reuseexploitable. Here, we connect density functional theory (DFT), machine le&quot;,&quot;author&quot;:&quot;Vladislav Ivaništšev&quot;}"/>
    <w:docVar w:name="UserAcceptedEdit_015" w:val="{&quot;operation&quot;:&quot;delete&quot;,&quot;text&quot;:&quot;Human researchers&quot;,&quot;context&quot;:&quot;Scientific discovery advances when researchers produce trustworthy evidence and make it exploitable. Here, we connect density functional theory (DFT), machine learning (ML), and la&quot;,&quot;author&quot;:&quot;Vladislav Ivaništšev&quot;}"/>
    <w:docVar w:name="UserAcceptedEdit_016" w:val="{&quot;operation&quot;:&quot;delete&quot;,&quot;text&quot;:&quot;. &quot;,&quot;context&quot;:&quot;Scientific discovery advances when researchers produce trustworthy evidence and make it exploitable. Here, we connect density functional theory (DFT), machine learning (ML), and la&quot;,&quot;author&quot;:&quot;Vladislav Ivaništšev&quot;}"/>
    <w:docVar w:name="UserAcceptedEdit_017" w:val="{&quot;operation&quot;:&quot;delete&quot;,&quot;text&quot;:&quot;Regression &quot;,&quot;context&quot;:&quot;Scientific discovery advances when researchers produce trustworthy evidence and make it exploitable. Here, we connect density functional theory (DFT), machine learning (ML), and la&quot;,&quot;author&quot;:&quot;Vladislav Ivaništšev&quot;}"/>
    <w:docVar w:name="UserAcceptedEdit_018" w:val="{&quot;operation&quot;:&quot;delete&quot;,&quot;text&quot;:&quot;The researchers&quot;,&quot;context&quot;:&quot;Scientific discovery advances when researchers produce trustworthy evidence and make it exploitable. Here, we connect density functional theory (DFT), machine learning (ML), and la&quot;,&quot;author&quot;:&quot;Vladislav Ivaništšev&quot;}"/>
    <w:docVar w:name="UserAcceptedEdit_019" w:val="{&quot;operation&quot;:&quot;delete&quot;,&quot;text&quot;:&quot;study &quot;,&quot;context&quot;:&quot;Scientific discovery advances when researchers produce trustworthy evidence and make it exploitable. Here, we connect density functional theory (DFT), machine learning (ML), and la&quot;,&quot;author&quot;:&quot;Vladislav Ivaništšev&quot;}"/>
    <w:docVar w:name="UserAcceptedEdit_020" w:val="{&quot;operation&quot;:&quot;delete&quot;,&quot;text&quot;:&quot;W&quot;,&quot;context&quot;:&quot;Accelerating catalyst discovery has usually meant faster calculations, larger candidate sets, or better prioritization. Each can help researchers choose the next structure to calcu&quot;,&quot;author&quot;:&quot;Vladislav Ivaništšev&quot;}"/>
    <w:docVar w:name="UserAcceptedEdit_021" w:val="{&quot;operation&quot;:&quot;delete&quot;,&quot;text&quot;:&quot;T&quot;,&quot;context&quot;:&quot;Independent analyses place chemistry publication timelines at several months after submission, with reported averages of approximately nine months across a journal sample and a med&quot;,&quot;author&quot;:&quot;Vladislav Ivaništšev&quot;}"/>
    <w:docVar w:name="UserAcceptedEdit_022" w:val="{&quot;operation&quot;:&quot;delete&quot;,&quot;text&quot;:&quot;S&quot;,&quot;context&quot;:&quot;Independent analyses place chemistry publication timelines at several months after submission, with reported averages of approximately nine months across a journal sample and a med&quot;,&quot;author&quot;:&quot;Vladislav Ivaništšev&quot;}"/>
    <w:docVar w:name="UserAcceptedEdit_023" w:val="{&quot;operation&quot;:&quot;delete&quot;,&quot;text&quot;:&quot;therefore &quot;,&quot;context&quot;:&quot;Independent analyses place chemistry publication timelines at several months after submission, with reported averages of approximately nine months across a journal sample and a med&quot;,&quot;author&quot;:&quot;Vladislav Ivaništšev&quot;}"/>
    <w:docVar w:name="UserAcceptedEdit_024" w:val="{&quot;operation&quot;:&quot;delete&quot;,&quot;text&quot;:&quot;account&quot;,&quot;context&quot;:&quot;Editors have argued that a coherent story should organize a paper and that carefully chosen figures carry much of its message [10.1038/nphys724; 10.1021/acsenergylett.8b02322; 10.1&quot;,&quot;author&quot;:&quot;Vladislav Ivaništšev&quot;}"/>
    <w:docVar w:name="UserAcceptedEdit_025" w:val="{&quot;operation&quot;:&quot;delete&quot;,&quot;text&quot;:&quot;article &quot;,&quot;context&quot;:&quot;Editors have argued that a coherent story should organize a paper and that carefully chosen figures carry much of its message [10.1038/nphys724; 10.1021/acsenergylett.8b02322; 10.1&quot;,&quot;author&quot;:&quot;Vladislav Ivaništšev&quot;}"/>
    <w:docVar w:name="UserAcceptedEdit_026" w:val="{&quot;operation&quot;:&quot;delete&quot;,&quot;text&quot;:&quot;constrain &quot;,&quot;context&quot;:&quot;Editors have argued that a coherent story should organize a paper and that carefully chosen figures carry much of its message [10.1038/nphys724; 10.1021/acsenergylett.8b02322; 10.1&quot;,&quot;author&quot;:&quot;Vladislav Ivaništšev&quot;}"/>
    <w:docVar w:name="UserAcceptedEdit_027" w:val="{&quot;operation&quot;:&quot;delete&quot;,&quot;text&quot;:&quot;A research group can produce only part of the data that its questions might support, and it cannot&quot;,&quot;context&quot;:&quot;Another aspect of research in catalysis is that A research group can produce only part of the data that its questions might support, and it cannot one cannot anticipate every use a&quot;,&quot;author&quot;:&quot;Vladislav Ivaništšev&quot;}"/>
    <w:docVar w:name="UserAcceptedEdit_028" w:val="{&quot;operation&quot;:&quot;delete&quot;,&quot;text&quot;:&quot;every use another researcher may find for those records&quot;,&quot;context&quot;:&quot;Another aspect of research in catalysis is that one cannot anticipate every use another researcher may find for those recordsapplicability of studied catalysts to myriads of possib&quot;,&quot;author&quot;:&quot;Vladislav Ivaništšev&quot;}"/>
    <w:docVar w:name="UserAcceptedEdit_029" w:val="{&quot;operation&quot;:&quot;delete&quot;,&quot;text&quot;:&quot; the&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0" w:val="{&quot;operation&quot;:&quot;delete&quot;,&quot;text&quot;:&quot;study &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1" w:val="{&quot;operation&quot;:&quot;delete&quot;,&quot;text&quot;:&quot; &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2" w:val="{&quot;operation&quot;:&quot;delete&quot;,&quot;text&quot;:&quot;; &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3" w:val="{&quot;operation&quot;:&quot;delete&quot;,&quot;text&quot;:&quot;reliable, reusable&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4" w:val="{&quot;operation&quot;:&quot;delete&quot;,&quot;text&quot;:&quot;result &quot;,&quot;context&quot;:&quot;A guided LLM procedure generated the complete scientific article from the verified research inputs. That is the central result message of this study: researchers can delegate the w&quot;,&quot;author&quot;:&quot;Vladislav Ivaništšev&quot;}"/>
    <w:docVar w:name="UserAcceptedEdit_035" w:val="{&quot;operation&quot;:&quot;delete&quot;,&quot;text&quot;:&quot;The &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6" w:val="{&quot;operation&quot;:&quot;delete&quot;,&quot;text&quot;:&quot; rather than a demonstration&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7" w:val="{&quot;operation&quot;:&quot;delete&quot;,&quot;text&quot;:&quot; detached from&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8" w:val="{&quot;operation&quot;:&quot;delete&quot;,&quot;text&quot;:&quot;scientific practice&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9" w:val="{&quot;operation&quot;:&quot;delete&quot;,&quot;text&quot;:&quot;R&quot;,&quot;context&quot;:&quot;Our DFT calculations identified three molecular DASCs with calculated ORR overpotentials of 0.34, 0.39, and 0.41 V. Further ML Rregression analysis identified Fe- and Co-containing&quot;,&quot;author&quot;:&quot;Vladislav Ivaništšev&quot;}"/>
    <w:docVar w:name="UserAcceptedEdit_040" w:val="{&quot;operation&quot;:&quot;delete&quot;,&quot;text&quot;:&quot;The same adsorption data also support CHE, ESSI, and free energy span analyses, so other researchers can ask related questions from a reusable molecular record&quot;,&quot;context&quot;:&quot;Our DFT calculations identified three molecular DASCs with calculated ORR overpotentials of 0.34, 0.39, and 0.41 V. Further ML regression analysis identified Fe- and Co-containing &quot;,&quot;author&quot;:&quot;Vladislav Ivaništšev&quot;}"/>
    <w:docVar w:name="UserRule_v44NarrativeAndFigures" w:val="Echo the title in Abstract, Introduction, and Conclusions; introduce FAIR data early; report the verified DFT and final 1176-structure ML results; use Figure 1 at 8.25 cm and Figures 2 and 3 at 17 cm with 8 pt typography."/>
    <w:docVar w:name="UserRule_v35AuthorComments" w:val="All 22 author comments in v35 were reviewed and resolved in v36; author revisions were accepted before the new tracked revision layer."/>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CentralThesisVocabulary" w:val="Use thesis for the central proposition about storytelling; do not rotate argument, claim, statement, and thesis for stylistic variation."/>
    <w:docVar w:name="UserRule_v45DataLocations" w:val="The fixed 88-catalyst DFT dataset uses the project GitHub repository; the larger catalyst dataset uses Zenodo record 23320178."/>
  </w:docVars>
  <w:rsids>
    <w:rsidRoot w:val="001822C1"/>
    <w:rsid w:val="001366A9"/>
    <w:rsid w:val="001822C1"/>
    <w:rsid w:val="001A1E4B"/>
    <w:rsid w:val="0027391B"/>
    <w:rsid w:val="00344EC8"/>
    <w:rsid w:val="00392A77"/>
    <w:rsid w:val="006305E0"/>
    <w:rsid w:val="006513C8"/>
    <w:rsid w:val="00877AE6"/>
    <w:rsid w:val="00BC5CD3"/>
    <w:rsid w:val="00F10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8B3E"/>
  <w15:docId w15:val="{6424C9FF-6C76-4710-ADB1-5C23623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character" w:styleId="CommentReference">
    <w:name w:val="annotation reference"/>
    <w:basedOn w:val="DefaultParagraphFont"/>
    <w:uiPriority w:val="99"/>
    <w:semiHidden/>
    <w:unhideWhenUsed/>
    <w:rsid w:val="00392A77"/>
    <w:rPr>
      <w:sz w:val="16"/>
      <w:szCs w:val="16"/>
    </w:rPr>
  </w:style>
  <w:style w:type="paragraph" w:styleId="CommentText">
    <w:name w:val="annotation text"/>
    <w:basedOn w:val="Normal"/>
    <w:link w:val="CommentTextChar"/>
    <w:uiPriority w:val="99"/>
    <w:unhideWhenUsed/>
    <w:rsid w:val="00392A77"/>
    <w:pPr>
      <w:spacing w:line="240" w:lineRule="auto"/>
    </w:pPr>
    <w:rPr>
      <w:sz w:val="20"/>
      <w:szCs w:val="20"/>
    </w:rPr>
  </w:style>
  <w:style w:type="character" w:customStyle="1" w:styleId="CommentTextChar">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unhideWhenUsed/>
    <w:rsid w:val="00392A77"/>
    <w:rPr>
      <w:b/>
      <w:bCs/>
    </w:rPr>
  </w:style>
  <w:style w:type="character" w:customStyle="1" w:styleId="CommentSubjectChar">
    <w:name w:val="Comment Subject Char"/>
    <w:basedOn w:val="CommentTextChar"/>
    <w:link w:val="CommentSubject"/>
    <w:uiPriority w:val="99"/>
    <w:semiHidden/>
    <w:rsid w:val="00392A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88/1361-648X/aa680e" TargetMode="External"/><Relationship Id="rId21" Type="http://schemas.openxmlformats.org/officeDocument/2006/relationships/hyperlink" Target="https://doi.org/10.1038/nmeth.2726" TargetMode="External"/><Relationship Id="rId34" Type="http://schemas.openxmlformats.org/officeDocument/2006/relationships/image" Target="media/image3.png"/><Relationship Id="rId42" Type="http://schemas.openxmlformats.org/officeDocument/2006/relationships/hyperlink" Target="https://doi.org/10.1021/acscatal.6c02383" TargetMode="External"/><Relationship Id="rId47" Type="http://schemas.openxmlformats.org/officeDocument/2006/relationships/hyperlink" Target="https://doi.org/10.1038/nphys724" TargetMode="External"/><Relationship Id="rId50" Type="http://schemas.openxmlformats.org/officeDocument/2006/relationships/hyperlink" Target="https://doi.org/10.1038/nmeth.2726" TargetMode="External"/><Relationship Id="rId55" Type="http://schemas.openxmlformats.org/officeDocument/2006/relationships/hyperlink" Target="https://doi.org/10.1016/j.coelec.2018.03.025"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hyperlink" Target="https://doi.org/10.1021/jp047349j" TargetMode="External"/><Relationship Id="rId11" Type="http://schemas.openxmlformats.org/officeDocument/2006/relationships/hyperlink" Target="https://doi.org/10.1007/s11192-023-04640-6" TargetMode="External"/><Relationship Id="rId24" Type="http://schemas.openxmlformats.org/officeDocument/2006/relationships/hyperlink" Target="https://doi.org/10.1016/j.dib.2026.112806" TargetMode="External"/><Relationship Id="rId32" Type="http://schemas.openxmlformats.org/officeDocument/2006/relationships/hyperlink" Target="https://doi.org/10.1016/j.dib.2026.112806" TargetMode="External"/><Relationship Id="rId37" Type="http://schemas.openxmlformats.org/officeDocument/2006/relationships/hyperlink" Target="https://doi.org/10.5281/zenodo.18601379" TargetMode="External"/><Relationship Id="rId40" Type="http://schemas.openxmlformats.org/officeDocument/2006/relationships/hyperlink" Target="https://doi.org/10.1002/adma.74833" TargetMode="External"/><Relationship Id="rId45" Type="http://schemas.openxmlformats.org/officeDocument/2006/relationships/hyperlink" Target="https://doi.org/10.26434/chemrxiv.15001712/v1" TargetMode="External"/><Relationship Id="rId53" Type="http://schemas.openxmlformats.org/officeDocument/2006/relationships/hyperlink" Target="https://doi.org/10.1088/1361-648X/aa680e" TargetMode="External"/><Relationship Id="rId58" Type="http://schemas.openxmlformats.org/officeDocument/2006/relationships/hyperlink" Target="https://doi.org/10.5281/zenodo.18601379"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16/j.joi.2013.09.001" TargetMode="External"/><Relationship Id="rId14" Type="http://schemas.openxmlformats.org/officeDocument/2006/relationships/hyperlink" Target="https://doi.org/10.1021/acsenergylett.1c02401" TargetMode="External"/><Relationship Id="rId22" Type="http://schemas.openxmlformats.org/officeDocument/2006/relationships/hyperlink" Target="https://doi.org/10.1126/sciadv.adt3813" TargetMode="External"/><Relationship Id="rId27" Type="http://schemas.openxmlformats.org/officeDocument/2006/relationships/hyperlink" Target="https://doi.org/10.1063/1.5090222" TargetMode="External"/><Relationship Id="rId30" Type="http://schemas.openxmlformats.org/officeDocument/2006/relationships/hyperlink" Target="https://doi.org/10.1056/aioa2400555" TargetMode="External"/><Relationship Id="rId35" Type="http://schemas.openxmlformats.org/officeDocument/2006/relationships/hyperlink" Target="https://doi.org/10.1016/j.coelec.2018.03.025" TargetMode="External"/><Relationship Id="rId43" Type="http://schemas.openxmlformats.org/officeDocument/2006/relationships/hyperlink" Target="https://doi.org/10.1021/jp047349j" TargetMode="External"/><Relationship Id="rId48" Type="http://schemas.openxmlformats.org/officeDocument/2006/relationships/hyperlink" Target="https://doi.org/10.1021/acsenergylett.1c02401" TargetMode="External"/><Relationship Id="rId56" Type="http://schemas.openxmlformats.org/officeDocument/2006/relationships/hyperlink" Target="https://doi.org/10.1021/acscatal.2c03997" TargetMode="External"/><Relationship Id="rId64" Type="http://schemas.openxmlformats.org/officeDocument/2006/relationships/fontTable" Target="fontTable.xml"/><Relationship Id="rId8" Type="http://schemas.openxmlformats.org/officeDocument/2006/relationships/hyperlink" Target="mailto:vladislav.ivanistsev@lu.lv" TargetMode="External"/><Relationship Id="rId51" Type="http://schemas.openxmlformats.org/officeDocument/2006/relationships/hyperlink" Target="https://doi.org/10.1016/j.dib.2026.112806" TargetMode="External"/><Relationship Id="rId3" Type="http://schemas.openxmlformats.org/officeDocument/2006/relationships/styles" Target="styles.xml"/><Relationship Id="rId12" Type="http://schemas.openxmlformats.org/officeDocument/2006/relationships/hyperlink" Target="https://doi.org/10.1038/nphys724" TargetMode="External"/><Relationship Id="rId25" Type="http://schemas.openxmlformats.org/officeDocument/2006/relationships/hyperlink" Target="https://doi.org/10.1063/5.0182685" TargetMode="External"/><Relationship Id="rId33" Type="http://schemas.openxmlformats.org/officeDocument/2006/relationships/image" Target="media/image2.png"/><Relationship Id="rId38" Type="http://schemas.openxmlformats.org/officeDocument/2006/relationships/hyperlink" Target="https://doi.org/10.5281/zenodo.18601379" TargetMode="External"/><Relationship Id="rId46" Type="http://schemas.openxmlformats.org/officeDocument/2006/relationships/hyperlink" Target="https://doi.org/10.1021/acsenergylett.8b02322" TargetMode="External"/><Relationship Id="rId59" Type="http://schemas.openxmlformats.org/officeDocument/2006/relationships/hyperlink" Target="https://doi.org/10.1126/sciadv.adt3813" TargetMode="External"/><Relationship Id="rId20" Type="http://schemas.openxmlformats.org/officeDocument/2006/relationships/hyperlink" Target="https://doi.org/10.1038/sdata.2016.18" TargetMode="External"/><Relationship Id="rId41" Type="http://schemas.openxmlformats.org/officeDocument/2006/relationships/hyperlink" Target="https://doi.org/10.1002/adma.202403549" TargetMode="External"/><Relationship Id="rId54" Type="http://schemas.openxmlformats.org/officeDocument/2006/relationships/hyperlink" Target="https://doi.org/10.1063/1.5090222" TargetMode="External"/><Relationship Id="rId62" Type="http://schemas.openxmlformats.org/officeDocument/2006/relationships/hyperlink" Target="https://doi.org/10.1007/s11192-023-04640-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51-018-0202-5" TargetMode="External"/><Relationship Id="rId23" Type="http://schemas.openxmlformats.org/officeDocument/2006/relationships/hyperlink" Target="https://doi.org/10.1056/aioa2400555" TargetMode="External"/><Relationship Id="rId28" Type="http://schemas.openxmlformats.org/officeDocument/2006/relationships/hyperlink" Target="https://doi.org/10.26434/chemrxiv.15001712/v1" TargetMode="External"/><Relationship Id="rId36" Type="http://schemas.openxmlformats.org/officeDocument/2006/relationships/hyperlink" Target="https://doi.org/10.1021/acscatal.2c03997" TargetMode="External"/><Relationship Id="rId49" Type="http://schemas.openxmlformats.org/officeDocument/2006/relationships/hyperlink" Target="https://doi.org/10.1038/s41551-018-0202-5" TargetMode="External"/><Relationship Id="rId57" Type="http://schemas.openxmlformats.org/officeDocument/2006/relationships/hyperlink" Target="https://doi.org/10.1038/sdata.2016.18" TargetMode="External"/><Relationship Id="rId10" Type="http://schemas.openxmlformats.org/officeDocument/2006/relationships/hyperlink" Target="https://doi.org/10.1016/j.joi.2013.09.001" TargetMode="External"/><Relationship Id="rId31" Type="http://schemas.openxmlformats.org/officeDocument/2006/relationships/image" Target="media/image1.png"/><Relationship Id="rId44" Type="http://schemas.openxmlformats.org/officeDocument/2006/relationships/hyperlink" Target="https://doi.org/10.1021/jacs.4c12705" TargetMode="External"/><Relationship Id="rId52" Type="http://schemas.openxmlformats.org/officeDocument/2006/relationships/hyperlink" Target="https://doi.org/10.1063/5.0182685" TargetMode="External"/><Relationship Id="rId60" Type="http://schemas.openxmlformats.org/officeDocument/2006/relationships/hyperlink" Target="https://doi.org/10.1056/aioa2400555" TargetMode="External"/><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21/acsenergylett.8b02322" TargetMode="External"/><Relationship Id="rId39" Type="http://schemas.openxmlformats.org/officeDocument/2006/relationships/hyperlink" Target="https://github.com/doublelayer/ACSEnergyLetters_2026_resonance/raw/refs/heads/main/DASC_Bare_Catalysts_RPBE_D4.db" TargetMode="External"/><Relationship Id="rId16" Type="http://schemas.openxmlformats.org/officeDocument/2006/relationships/hyperlink" Target="https://doi.org/10.1021/acscatal.6c00046" TargetMode="External"/><Relationship Id="rId17" Type="http://schemas.openxmlformats.org/officeDocument/2006/relationships/hyperlink" Target="https://github.com/doublelayer/EActa_2026_AI-acceleration" TargetMode="External"/><Relationship Id="rId18" Type="http://schemas.openxmlformats.org/officeDocument/2006/relationships/hyperlink" Target="https://zenodo.org/records/2332017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4895</Words>
  <Characters>27904</Characters>
  <Application>Microsoft Office Word</Application>
  <DocSecurity>0</DocSecurity>
  <Lines>232</Lines>
  <Paragraphs>65</Paragraphs>
  <ScaleCrop>false</ScaleCrop>
  <Company/>
  <LinksUpToDate>false</LinksUpToDate>
  <CharactersWithSpaces>32734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5</cp:revision>
  <dcterms:created xsi:type="dcterms:W3CDTF">2013-12-23T23:15:00Z</dcterms:created>
  <dcterms:modified xsi:type="dcterms:W3CDTF">2026-10-12T18:01:00Z</dcterms:modified>
</cp:coreProperties>
</file>