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182ny36s6s7" w:id="0"/>
      <w:bookmarkEnd w:id="0"/>
      <w:r w:rsidDel="00000000" w:rsidR="00000000" w:rsidRPr="00000000">
        <w:rPr>
          <w:rtl w:val="0"/>
        </w:rPr>
        <w:t xml:space="preserve">BoreasETFs.com - Product Requirements Document</w:t>
      </w:r>
    </w:p>
    <w:p w:rsidR="00000000" w:rsidDel="00000000" w:rsidP="00000000" w:rsidRDefault="00000000" w:rsidRPr="00000000" w14:paraId="00000002">
      <w:pPr>
        <w:pStyle w:val="Heading2"/>
        <w:rPr/>
      </w:pPr>
      <w:bookmarkStart w:colFirst="0" w:colLast="0" w:name="_jdmip36t5a5u" w:id="1"/>
      <w:bookmarkEnd w:id="1"/>
      <w:r w:rsidDel="00000000" w:rsidR="00000000" w:rsidRPr="00000000">
        <w:rPr>
          <w:rtl w:val="0"/>
        </w:rPr>
        <w:t xml:space="preserve">Website Development &amp; Data Infrastructure</w:t>
      </w:r>
    </w:p>
    <w:p w:rsidR="00000000" w:rsidDel="00000000" w:rsidP="00000000" w:rsidRDefault="00000000" w:rsidRPr="00000000" w14:paraId="00000003">
      <w:pPr>
        <w:rPr/>
      </w:pPr>
      <w:r w:rsidDel="00000000" w:rsidR="00000000" w:rsidRPr="00000000">
        <w:rPr>
          <w:rtl w:val="0"/>
        </w:rPr>
        <w:t xml:space="preserve">Version 1.8</w:t>
      </w:r>
    </w:p>
    <w:p w:rsidR="00000000" w:rsidDel="00000000" w:rsidP="00000000" w:rsidRDefault="00000000" w:rsidRPr="00000000" w14:paraId="00000004">
      <w:pPr>
        <w:widowControl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Northwind Ltd - on behalf of "Boreas ETFs"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Associated with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Lunate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Prepared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Thomas Wolf, Double Wolf Consulting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March 2,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Last Updated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April 6, 2026 (v1.8)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Awaiting Finalization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Stakeholders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Geir Espeskog (CEO), Viktor Östebo (Global Head Distribution), Chris (Head of Product)</w:t>
            </w:r>
          </w:p>
        </w:tc>
      </w:tr>
    </w:tbl>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tifu7mkyn70h" w:id="2"/>
      <w:bookmarkEnd w:id="2"/>
      <w:r w:rsidDel="00000000" w:rsidR="00000000" w:rsidRPr="00000000">
        <w:rPr>
          <w:rtl w:val="0"/>
        </w:rPr>
        <w:t xml:space="preserve">1. Executive Summary</w:t>
      </w:r>
    </w:p>
    <w:p w:rsidR="00000000" w:rsidDel="00000000" w:rsidP="00000000" w:rsidRDefault="00000000" w:rsidRPr="00000000" w14:paraId="00000018">
      <w:pPr>
        <w:rPr/>
      </w:pPr>
      <w:r w:rsidDel="00000000" w:rsidR="00000000" w:rsidRPr="00000000">
        <w:rPr>
          <w:rtl w:val="0"/>
        </w:rPr>
        <w:t xml:space="preserve">Boreas ETFs (operated by Northwind Ltd, associated with Lunate) requires a public-facing website primarily serving European investors, with UAE share classes listed on ADX (Dubai). The site must display daily fund data (24h), comply with European financial regulations, and present the brand with a modern, premium aesthetic that differentiates Boreas in a market dominated by generic corporate sites.</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website will be built on WordPress with a custom theme and will pull fund data from external vendor APIs (primarily Fundinfo) into AWS-hosted infrastructure. The architecture is designed to be modular, cost-effective, and independent of any third-party portal (including Lunate/FGS systems), while remaining flexible enough to accommodate additional data sources, languages, and products as the business scales.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document covers the business requirements, scope, and delivery approach. A separate Technical Specification (version-controlled on </w:t>
      </w:r>
      <w:hyperlink r:id="rId6">
        <w:r w:rsidDel="00000000" w:rsidR="00000000" w:rsidRPr="00000000">
          <w:rPr>
            <w:color w:val="1155cc"/>
            <w:u w:val="single"/>
            <w:rtl w:val="0"/>
          </w:rPr>
          <w:t xml:space="preserve">GitHub</w:t>
        </w:r>
      </w:hyperlink>
      <w:r w:rsidDel="00000000" w:rsidR="00000000" w:rsidRPr="00000000">
        <w:rPr>
          <w:rtl w:val="0"/>
        </w:rPr>
        <w:t xml:space="preserve">) covers implementation detail including data schemas, API contracts, and pipeline specifications.</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p6precai7a4e" w:id="3"/>
      <w:bookmarkEnd w:id="3"/>
      <w:r w:rsidDel="00000000" w:rsidR="00000000" w:rsidRPr="00000000">
        <w:rPr>
          <w:rtl w:val="0"/>
        </w:rPr>
        <w:t xml:space="preserve">2. Project Context &amp; Objectives</w:t>
      </w:r>
    </w:p>
    <w:p w:rsidR="00000000" w:rsidDel="00000000" w:rsidP="00000000" w:rsidRDefault="00000000" w:rsidRPr="00000000" w14:paraId="00000020">
      <w:pPr>
        <w:pStyle w:val="Heading3"/>
        <w:rPr/>
      </w:pPr>
      <w:bookmarkStart w:colFirst="0" w:colLast="0" w:name="_yz50b9rogaw0" w:id="4"/>
      <w:bookmarkEnd w:id="4"/>
      <w:r w:rsidDel="00000000" w:rsidR="00000000" w:rsidRPr="00000000">
        <w:rPr>
          <w:rtl w:val="0"/>
        </w:rPr>
        <w:t xml:space="preserve">2.1 Business Context</w:t>
      </w:r>
    </w:p>
    <w:p w:rsidR="00000000" w:rsidDel="00000000" w:rsidP="00000000" w:rsidRDefault="00000000" w:rsidRPr="00000000" w14:paraId="00000021">
      <w:pPr>
        <w:rPr/>
      </w:pPr>
      <w:r w:rsidDel="00000000" w:rsidR="00000000" w:rsidRPr="00000000">
        <w:rPr>
          <w:rtl w:val="0"/>
        </w:rPr>
        <w:t xml:space="preserve">Boreas/Northwind is a new ETF provider with 3 live funds today (6 share classes across European and ADX markets, 9 tickers), growing to approximately 8 funds by the end of the year. The website is the primary shop window for the business - the one touchpoint where trust is built quickly with institutional and retail investors. ETFs are listed on exchanges in both the UAE (ADX) and Europe (Deutsche Börse and others).</w:t>
      </w:r>
    </w:p>
    <w:p w:rsidR="00000000" w:rsidDel="00000000" w:rsidP="00000000" w:rsidRDefault="00000000" w:rsidRPr="00000000" w14:paraId="00000022">
      <w:pPr>
        <w:pStyle w:val="Heading4"/>
        <w:rPr/>
      </w:pPr>
      <w:bookmarkStart w:colFirst="0" w:colLast="0" w:name="_1n340tuilc2c" w:id="5"/>
      <w:bookmarkEnd w:id="5"/>
      <w:r w:rsidDel="00000000" w:rsidR="00000000" w:rsidRPr="00000000">
        <w:rPr>
          <w:rtl w:val="0"/>
        </w:rPr>
        <w:t xml:space="preserve">2.1.1 V1 Fund &amp; Share Class Reference</w:t>
      </w:r>
    </w:p>
    <w:p w:rsidR="00000000" w:rsidDel="00000000" w:rsidP="00000000" w:rsidRDefault="00000000" w:rsidRPr="00000000" w14:paraId="00000023">
      <w:pPr>
        <w:rPr/>
      </w:pPr>
      <w:r w:rsidDel="00000000" w:rsidR="00000000" w:rsidRPr="00000000">
        <w:rPr>
          <w:rtl w:val="0"/>
        </w:rPr>
        <w:t xml:space="preserve">3 funds, each with a European share class (USD Acc) and an ADX share class (AED Dist). 6 share classes total, 9 tickers.</w:t>
      </w:r>
    </w:p>
    <w:p w:rsidR="00000000" w:rsidDel="00000000" w:rsidP="00000000" w:rsidRDefault="00000000" w:rsidRPr="00000000" w14:paraId="00000024">
      <w:pPr>
        <w:widowControl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Share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Tickers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ISIN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WKN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S&amp;P AI Data, Power &amp;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USD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European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POWR, POWA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IE000NX8S1Z1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A412DM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S&amp;P AI Data, Power &amp;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AED (Dist)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AIPOWR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IE000591PJN0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Solactive Quantum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USD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European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QQCC, QQCQ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IE000N7LUK04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A412DL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Solactive Quantum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AED (Dist)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QUANTM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IE000RVOB8A6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S&amp;P Absolute Luxury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USD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European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LUXY, LUXX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IE000LVB7GJ9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A412DN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S&amp;P Absolute Luxury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AED (Dist)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LUXURY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IE000UK8D8Q4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t>
            </w:r>
          </w:p>
        </w:tc>
      </w:tr>
    </w:tbl>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European share classes each have two exchange listings (two tickers on the same product page). ADX share classes have one listing each. The European vs ADX classification is not available from Fundinfo and must be manually tagged in WordPress ACF.</w:t>
      </w:r>
    </w:p>
    <w:p w:rsidR="00000000" w:rsidDel="00000000" w:rsidP="00000000" w:rsidRDefault="00000000" w:rsidRPr="00000000" w14:paraId="00000051">
      <w:pPr>
        <w:pStyle w:val="Heading3"/>
        <w:rPr/>
      </w:pPr>
      <w:bookmarkStart w:colFirst="0" w:colLast="0" w:name="_ktofq0phhwkx" w:id="6"/>
      <w:bookmarkEnd w:id="6"/>
      <w:r w:rsidDel="00000000" w:rsidR="00000000" w:rsidRPr="00000000">
        <w:rPr>
          <w:rtl w:val="0"/>
        </w:rPr>
        <w:t xml:space="preserve">2.2 Objectives</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Launch a compliant, data-driven ETF website serving mainly European markets, with ADX share classes served to UAE and GCC countries</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Display accurate, daily-updated fund data (NAV, AUM, holdings, performance) from vendor feeds</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Comply with European regulatory requirements for country/investor segmentation and GDPR; ADX share classes comply with ADX/UAE requirements for the relevant country group</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Enable non-technical team members to manage content (articles, fund descriptions, static data) via a Content Management System (CMS)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Build a subscriber/email database from day one</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Establish a modern, premium brand presence that stands out from a typical ETF website</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Maintain full data independence from Lunate/FGS infrastructure</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Clearly answer the "why invest" question for each ETF - every product page must give investors a compelling, readable investment case for the fund, not just a data table</w:t>
      </w:r>
    </w:p>
    <w:p w:rsidR="00000000" w:rsidDel="00000000" w:rsidP="00000000" w:rsidRDefault="00000000" w:rsidRPr="00000000" w14:paraId="0000005A">
      <w:pPr>
        <w:pStyle w:val="Heading3"/>
        <w:rPr/>
      </w:pPr>
      <w:bookmarkStart w:colFirst="0" w:colLast="0" w:name="_imh89obky6ka" w:id="7"/>
      <w:bookmarkEnd w:id="7"/>
      <w:r w:rsidDel="00000000" w:rsidR="00000000" w:rsidRPr="00000000">
        <w:rPr>
          <w:rtl w:val="0"/>
        </w:rPr>
        <w:t xml:space="preserve">2.3 Design Principles (from CEO)</w:t>
      </w:r>
    </w:p>
    <w:p w:rsidR="00000000" w:rsidDel="00000000" w:rsidP="00000000" w:rsidRDefault="00000000" w:rsidRPr="00000000" w14:paraId="0000005B">
      <w:pPr>
        <w:rPr/>
      </w:pPr>
      <w:r w:rsidDel="00000000" w:rsidR="00000000" w:rsidRPr="00000000">
        <w:rPr>
          <w:rtl w:val="0"/>
        </w:rPr>
        <w:t xml:space="preserve">The guiding principles are simplicity, clean design, and a product-first approach. Visitors should quickly find the products and all product data. Sites like Apple and Tesla are useful references for their standard of design quality and product focus - the goal is not to copy them directly, but to apply the same clarity of communication to financial products. Input from Viktor and Chris on design direction is welcome.</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Clean, minimal, product-focused</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Explain the "why" behind each theme/exposure - treat ETFs like product pages, not data tables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Avoid data overload. Keep text light. Easy, intuitive browsing</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Consistent layout throughout with strong hierarchy</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Anti-patterns: generic skyline photos, dense data tables as primary UX, corporate clichés, scroll-heavy image-led layouts that bury data</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Data accessibility is critical: holdings, returns, and key facts must be easy to find without excessive scrolling. Investors use the site for due diligence - product information and downloadable data take priority over visual storytelling.</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Optimised for mobile - the site must look and function great on a smartphone without requiring a separate app</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gdlzkv60rqn1" w:id="8"/>
      <w:bookmarkEnd w:id="8"/>
      <w:r w:rsidDel="00000000" w:rsidR="00000000" w:rsidRPr="00000000">
        <w:rPr>
          <w:rtl w:val="0"/>
        </w:rPr>
        <w:t xml:space="preserve">3. Tech Stack &amp; Hosting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WordPress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Custom theme (PHP + Bootstrap), ACF plugin for manual data fields. Classic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Hosting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Managed WordPress (EU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Provider TBD. EU hosting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Data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AWS (Lambda, S3, Glue, CloudFront)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Separate from website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AWS CloudFront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Serves pre-computed JSON data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BoreasETFs.com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BoreasETF.com redirects. Both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GA4 via Google Tag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Consent-aware.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CRM / 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HubSpot Marketing Hub Starter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Decided. See Section 5.10.</w:t>
            </w:r>
          </w:p>
        </w:tc>
      </w:tr>
    </w:tbl>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qkhfccnbim7" w:id="9"/>
      <w:bookmarkEnd w:id="9"/>
      <w:r w:rsidDel="00000000" w:rsidR="00000000" w:rsidRPr="00000000">
        <w:rPr>
          <w:rtl w:val="0"/>
        </w:rPr>
        <w:t xml:space="preserve">4. Data Architecture (Summary)</w:t>
      </w:r>
    </w:p>
    <w:p w:rsidR="00000000" w:rsidDel="00000000" w:rsidP="00000000" w:rsidRDefault="00000000" w:rsidRPr="00000000" w14:paraId="00000082">
      <w:pPr>
        <w:rPr/>
      </w:pPr>
      <w:r w:rsidDel="00000000" w:rsidR="00000000" w:rsidRPr="00000000">
        <w:rPr>
          <w:rtl w:val="0"/>
        </w:rPr>
        <w:t xml:space="preserve">Full technical specification including data schemas, JSON structures, pipeline configuration, and API contracts is maintained separately in the GitHub technical spec </w:t>
      </w:r>
      <w:hyperlink r:id="rId7">
        <w:r w:rsidDel="00000000" w:rsidR="00000000" w:rsidRPr="00000000">
          <w:rPr>
            <w:color w:val="1155cc"/>
            <w:u w:val="single"/>
            <w:rtl w:val="0"/>
          </w:rPr>
          <w:t xml:space="preserve">repository</w:t>
        </w:r>
      </w:hyperlink>
      <w:r w:rsidDel="00000000" w:rsidR="00000000" w:rsidRPr="00000000">
        <w:rPr>
          <w:rtl w:val="0"/>
        </w:rPr>
        <w:t xml:space="preserve">.</w:t>
      </w:r>
    </w:p>
    <w:p w:rsidR="00000000" w:rsidDel="00000000" w:rsidP="00000000" w:rsidRDefault="00000000" w:rsidRPr="00000000" w14:paraId="00000083">
      <w:pPr>
        <w:pStyle w:val="Heading3"/>
        <w:rPr/>
      </w:pPr>
      <w:bookmarkStart w:colFirst="0" w:colLast="0" w:name="_4f74e3rgg1eo" w:id="10"/>
      <w:bookmarkEnd w:id="10"/>
      <w:r w:rsidDel="00000000" w:rsidR="00000000" w:rsidRPr="00000000">
        <w:rPr>
          <w:rtl w:val="0"/>
        </w:rPr>
        <w:t xml:space="preserve">Approach</w:t>
      </w:r>
    </w:p>
    <w:p w:rsidR="00000000" w:rsidDel="00000000" w:rsidP="00000000" w:rsidRDefault="00000000" w:rsidRPr="00000000" w14:paraId="00000084">
      <w:pPr>
        <w:rPr/>
      </w:pPr>
      <w:r w:rsidDel="00000000" w:rsidR="00000000" w:rsidRPr="00000000">
        <w:rPr>
          <w:rtl w:val="0"/>
        </w:rPr>
        <w:t xml:space="preserve">Fund data updates once daily and is static between updates. Rather than a traditional database, we use a pipeline that ingests data from vendor APIs, pre-computes all derived values, and writes the results as static JSON files to AWS S3. The website reads these files directly via CloudFront CDN.</w:t>
      </w:r>
    </w:p>
    <w:p w:rsidR="00000000" w:rsidDel="00000000" w:rsidP="00000000" w:rsidRDefault="00000000" w:rsidRPr="00000000" w14:paraId="00000085">
      <w:pPr>
        <w:pStyle w:val="Heading3"/>
        <w:rPr/>
      </w:pPr>
      <w:bookmarkStart w:colFirst="0" w:colLast="0" w:name="_zf4hu110t3t" w:id="11"/>
      <w:bookmarkEnd w:id="11"/>
      <w:r w:rsidDel="00000000" w:rsidR="00000000" w:rsidRPr="00000000">
        <w:rPr>
          <w:rtl w:val="0"/>
        </w:rPr>
        <w:t xml:space="preserve">Data Sources</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Fundinfo (primary):</w:t>
      </w:r>
      <w:r w:rsidDel="00000000" w:rsidR="00000000" w:rsidRPr="00000000">
        <w:rPr>
          <w:rFonts w:ascii="Arial Unicode MS" w:cs="Arial Unicode MS" w:eastAsia="Arial Unicode MS" w:hAnsi="Arial Unicode MS"/>
          <w:rtl w:val="0"/>
        </w:rPr>
        <w:t xml:space="preserve"> Five feeds via API → Dynamic data (NAV, AUM, dividends), Static data (fund metadata, fees, country registrations), Portfolio Holdings (fund composition with weights), and Documents (KIIDs, factsheets, prospectuses). Daily updates. EMT/EPT regulatory templates are also available.</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Index/benchmark providers (confirmed):</w:t>
      </w:r>
      <w:r w:rsidDel="00000000" w:rsidR="00000000" w:rsidRPr="00000000">
        <w:rPr>
          <w:rtl w:val="0"/>
        </w:rPr>
        <w:t xml:space="preserve"> S&amp;P Dow Jones Indices (2 funds: S&amp;P AI Data Power &amp; Infrastructure and S&amp;P Absolute Luxury) and Solactive (1 fund: Solactive Quantum Computing). API-based delivery with JSON/CSV output confirmed for both providers. Full API documentation and field mapping in </w:t>
      </w:r>
      <w:r w:rsidDel="00000000" w:rsidR="00000000" w:rsidRPr="00000000">
        <w:rPr>
          <w:rFonts w:ascii="Roboto Mono" w:cs="Roboto Mono" w:eastAsia="Roboto Mono" w:hAnsi="Roboto Mono"/>
          <w:color w:val="188038"/>
          <w:rtl w:val="0"/>
        </w:rPr>
        <w:t xml:space="preserve">docs/data-pipeline.md</w:t>
      </w:r>
      <w:r w:rsidDel="00000000" w:rsidR="00000000" w:rsidRPr="00000000">
        <w:rPr>
          <w:rtl w:val="0"/>
        </w:rPr>
        <w:t xml:space="preserve">. VettaFi (third provider, for funds expected June/July 2026) is V2 scope.</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Manual/CMS data:</w:t>
      </w:r>
      <w:r w:rsidDel="00000000" w:rsidR="00000000" w:rsidRPr="00000000">
        <w:rPr>
          <w:rtl w:val="0"/>
        </w:rPr>
        <w:t xml:space="preserve"> Fund descriptions, images, ticker mappings, disclaimers - managed by the Boreas team via WordPress ACF admin interface.</w:t>
      </w:r>
    </w:p>
    <w:p w:rsidR="00000000" w:rsidDel="00000000" w:rsidP="00000000" w:rsidRDefault="00000000" w:rsidRPr="00000000" w14:paraId="00000089">
      <w:pPr>
        <w:pStyle w:val="Heading3"/>
        <w:rPr/>
      </w:pPr>
      <w:bookmarkStart w:colFirst="0" w:colLast="0" w:name="_kqan40qip42p" w:id="12"/>
      <w:bookmarkEnd w:id="12"/>
      <w:r w:rsidDel="00000000" w:rsidR="00000000" w:rsidRPr="00000000">
        <w:rPr>
          <w:rtl w:val="0"/>
        </w:rPr>
        <w:t xml:space="preserve">Performance Data</w:t>
      </w:r>
    </w:p>
    <w:p w:rsidR="00000000" w:rsidDel="00000000" w:rsidP="00000000" w:rsidRDefault="00000000" w:rsidRPr="00000000" w14:paraId="0000008A">
      <w:pPr>
        <w:rPr/>
      </w:pPr>
      <w:r w:rsidDel="00000000" w:rsidR="00000000" w:rsidRPr="00000000">
        <w:rPr>
          <w:rtl w:val="0"/>
        </w:rPr>
        <w:t xml:space="preserve">Fundinfo does not provide pre-calculated performance figures. The pipeline stores historical NAV data and computes performance metrics independently:</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Performance Time Series:</w:t>
      </w:r>
      <w:r w:rsidDel="00000000" w:rsidR="00000000" w:rsidRPr="00000000">
        <w:rPr>
          <w:rtl w:val="0"/>
        </w:rPr>
        <w:t xml:space="preserve"> daily NAV history + benchmark values, used for the interactive "Growth of Hypothetical $10,000" chart (updated daily). The chart includes a hover tooltip showing fund and benchmark values at any date, and toggle controls for standard time frames (1m, 3m, 6m, YTD, 1y, 3y, 5y, Max).</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Daily Metrics:</w:t>
      </w:r>
      <w:r w:rsidDel="00000000" w:rsidR="00000000" w:rsidRPr="00000000">
        <w:rPr>
          <w:rFonts w:ascii="Arial Unicode MS" w:cs="Arial Unicode MS" w:eastAsia="Arial Unicode MS" w:hAnsi="Arial Unicode MS"/>
          <w:rtl w:val="0"/>
        </w:rPr>
        <w:t xml:space="preserve"> 1-Day NAV Change (absolute and percentage) and NAV Total Return YTD → computed daily in the pipeline, matching the BlackRock/iShares display pattern</w:t>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Performance Summary:</w:t>
      </w:r>
      <w:r w:rsidDel="00000000" w:rsidR="00000000" w:rsidRPr="00000000">
        <w:rPr>
          <w:rtl w:val="0"/>
        </w:rPr>
        <w:t xml:space="preserve"> pre-calculated returns tables (YTD, 1m, 3m, 6m, 1y, 3y, 5y, Since Inception) in both Average Annual and Cumulative views (updated monthly, matching industry standard per BlackRock/iShares approach)</w:t>
      </w:r>
    </w:p>
    <w:p w:rsidR="00000000" w:rsidDel="00000000" w:rsidP="00000000" w:rsidRDefault="00000000" w:rsidRPr="00000000" w14:paraId="0000008F">
      <w:pPr>
        <w:pStyle w:val="Heading3"/>
        <w:rPr/>
      </w:pPr>
      <w:bookmarkStart w:colFirst="0" w:colLast="0" w:name="_f2gup0evjztl" w:id="13"/>
      <w:bookmarkEnd w:id="13"/>
      <w:r w:rsidDel="00000000" w:rsidR="00000000" w:rsidRPr="00000000">
        <w:rPr>
          <w:rtl w:val="0"/>
        </w:rPr>
        <w:t xml:space="preserve">Key Design Decisions</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No traditional database in V1 (under review).</w:t>
      </w:r>
      <w:r w:rsidDel="00000000" w:rsidR="00000000" w:rsidRPr="00000000">
        <w:rPr>
          <w:rtl w:val="0"/>
        </w:rPr>
        <w:t xml:space="preserve"> S3 flat files via CloudFront are a production-grade, highly reliable architecture for V1 scale (&lt;10 funds, daily updates). CloudFront provides global CDN redundancy and caching. The architecture is explicitly designed to support migration to a database-backed approach in V2/V3 if product complexity warrants it - this pathway is already captured in the V2 scope (Section 9).</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Modular pipeline.</w:t>
      </w:r>
      <w:r w:rsidDel="00000000" w:rsidR="00000000" w:rsidRPr="00000000">
        <w:rPr>
          <w:rtl w:val="0"/>
        </w:rPr>
        <w:t xml:space="preserve"> Each data source has its own ingestion function. Adding or swapping sources does not require rebuilding existing components. Per Geir's requirement, the Lunate ETF Portal can be plugged in as an additional source if needed.</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WordPress ACF for manual data.</w:t>
      </w:r>
      <w:r w:rsidDel="00000000" w:rsidR="00000000" w:rsidRPr="00000000">
        <w:rPr>
          <w:rtl w:val="0"/>
        </w:rPr>
        <w:t xml:space="preserve"> Non-technical team members can update fund descriptions, ticker mappings, and other fields without developer involvement.</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Failure resilience.</w:t>
      </w:r>
      <w:r w:rsidDel="00000000" w:rsidR="00000000" w:rsidRPr="00000000">
        <w:rPr>
          <w:rtl w:val="0"/>
        </w:rPr>
        <w:t xml:space="preserve"> S3 versioning + CloudFront caching ensures the website serves data even if a daily ingestion fails.</w:t>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Holdings from Fundinfo.</w:t>
      </w:r>
      <w:r w:rsidDel="00000000" w:rsidR="00000000" w:rsidRPr="00000000">
        <w:rPr>
          <w:rtl w:val="0"/>
        </w:rPr>
        <w:t xml:space="preserve"> Portfolio holdings (name, weight, value) are sourced from the Fundinfo portfolio feed. Sector and country breakdowns are V2 scope.</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i6cwmclbddj5" w:id="14"/>
      <w:bookmarkEnd w:id="14"/>
      <w:r w:rsidDel="00000000" w:rsidR="00000000" w:rsidRPr="00000000">
        <w:rPr>
          <w:rtl w:val="0"/>
        </w:rPr>
        <w:t xml:space="preserve">5. Website Structure &amp; Functional Requirements</w:t>
      </w:r>
    </w:p>
    <w:p w:rsidR="00000000" w:rsidDel="00000000" w:rsidP="00000000" w:rsidRDefault="00000000" w:rsidRPr="00000000" w14:paraId="00000098">
      <w:pPr>
        <w:pStyle w:val="Heading3"/>
        <w:rPr/>
      </w:pPr>
      <w:bookmarkStart w:colFirst="0" w:colLast="0" w:name="_opebq28z3lp1" w:id="15"/>
      <w:bookmarkEnd w:id="15"/>
      <w:r w:rsidDel="00000000" w:rsidR="00000000" w:rsidRPr="00000000">
        <w:rPr>
          <w:rtl w:val="0"/>
        </w:rPr>
        <w:t xml:space="preserve">5.1 Navigation &amp; Page Hierarchy</w:t>
      </w:r>
    </w:p>
    <w:p w:rsidR="00000000" w:rsidDel="00000000" w:rsidP="00000000" w:rsidRDefault="00000000" w:rsidRPr="00000000" w14:paraId="00000099">
      <w:pPr>
        <w:pStyle w:val="Heading4"/>
        <w:rPr/>
      </w:pPr>
      <w:bookmarkStart w:colFirst="0" w:colLast="0" w:name="_uphmb9hscww5" w:id="16"/>
      <w:bookmarkEnd w:id="16"/>
      <w:r w:rsidDel="00000000" w:rsidR="00000000" w:rsidRPr="00000000">
        <w:rPr>
          <w:rtl w:val="0"/>
        </w:rPr>
        <w:t xml:space="preserve">Header</w:t>
      </w:r>
    </w:p>
    <w:p w:rsidR="00000000" w:rsidDel="00000000" w:rsidP="00000000" w:rsidRDefault="00000000" w:rsidRPr="00000000" w14:paraId="0000009A">
      <w:pPr>
        <w:pStyle w:val="Heading5"/>
        <w:rPr/>
      </w:pPr>
      <w:bookmarkStart w:colFirst="0" w:colLast="0" w:name="_vu37lfeg18b7" w:id="17"/>
      <w:bookmarkEnd w:id="17"/>
      <w:r w:rsidDel="00000000" w:rsidR="00000000" w:rsidRPr="00000000">
        <w:rPr>
          <w:rtl w:val="0"/>
        </w:rPr>
        <w:t xml:space="preserve">Top</w:t>
      </w:r>
    </w:p>
    <w:p w:rsidR="00000000" w:rsidDel="00000000" w:rsidP="00000000" w:rsidRDefault="00000000" w:rsidRPr="00000000" w14:paraId="0000009B">
      <w:pPr>
        <w:rPr/>
      </w:pPr>
      <w:r w:rsidDel="00000000" w:rsidR="00000000" w:rsidRPr="00000000">
        <w:rPr>
          <w:rtl w:val="0"/>
        </w:rPr>
        <w:t xml:space="preserve">Lunate Logo w/ link </w:t>
      </w:r>
      <w:hyperlink r:id="rId8">
        <w:r w:rsidDel="00000000" w:rsidR="00000000" w:rsidRPr="00000000">
          <w:rPr>
            <w:color w:val="1155cc"/>
            <w:u w:val="single"/>
            <w:rtl w:val="0"/>
          </w:rPr>
          <w:t xml:space="preserve">https://etfs.lunate.com/</w:t>
        </w:r>
      </w:hyperlink>
      <w:r w:rsidDel="00000000" w:rsidR="00000000" w:rsidRPr="00000000">
        <w:rPr>
          <w:rtl w:val="0"/>
        </w:rPr>
        <w:t xml:space="preserve"> to open in new tab | Country Selector Dropdown | Investor Type Dropdown</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Note: the Lunate logo and link are a standalone component and can be removed independently if needed for compliance or business reasons, without changes to the broader site architecture.</w:t>
      </w:r>
    </w:p>
    <w:p w:rsidR="00000000" w:rsidDel="00000000" w:rsidP="00000000" w:rsidRDefault="00000000" w:rsidRPr="00000000" w14:paraId="0000009E">
      <w:pPr>
        <w:pStyle w:val="Heading5"/>
        <w:rPr/>
      </w:pPr>
      <w:bookmarkStart w:colFirst="0" w:colLast="0" w:name="_d7duqtkixvyc" w:id="18"/>
      <w:bookmarkEnd w:id="18"/>
      <w:r w:rsidDel="00000000" w:rsidR="00000000" w:rsidRPr="00000000">
        <w:rPr>
          <w:rtl w:val="0"/>
        </w:rPr>
        <w:t xml:space="preserve">Main</w:t>
      </w:r>
    </w:p>
    <w:p w:rsidR="00000000" w:rsidDel="00000000" w:rsidP="00000000" w:rsidRDefault="00000000" w:rsidRPr="00000000" w14:paraId="0000009F">
      <w:pPr>
        <w:rPr/>
      </w:pPr>
      <w:r w:rsidDel="00000000" w:rsidR="00000000" w:rsidRPr="00000000">
        <w:rPr>
          <w:rtl w:val="0"/>
        </w:rPr>
        <w:t xml:space="preserve">Home | Our ETFs (dropdown with tickers + "All ETFs") | Insights | FAQ | About Us |</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Note: Thematic Research content (e.g. "ETF Stories") is folded into the Insights section as a content category, not a separate nav item. See Section 5.4.</w:t>
      </w:r>
    </w:p>
    <w:p w:rsidR="00000000" w:rsidDel="00000000" w:rsidP="00000000" w:rsidRDefault="00000000" w:rsidRPr="00000000" w14:paraId="000000A2">
      <w:pPr>
        <w:pStyle w:val="Heading5"/>
        <w:rPr/>
      </w:pPr>
      <w:bookmarkStart w:colFirst="0" w:colLast="0" w:name="_cffywtxqpknl" w:id="19"/>
      <w:bookmarkEnd w:id="19"/>
      <w:r w:rsidDel="00000000" w:rsidR="00000000" w:rsidRPr="00000000">
        <w:rPr>
          <w:rtl w:val="0"/>
        </w:rPr>
        <w:t xml:space="preserve">Right of Main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Newsletter subscribe button as main CTA | Contact Us icon (envelope) → links to Contact Us page</w:t>
      </w:r>
    </w:p>
    <w:p w:rsidR="00000000" w:rsidDel="00000000" w:rsidP="00000000" w:rsidRDefault="00000000" w:rsidRPr="00000000" w14:paraId="000000A4">
      <w:pPr>
        <w:pStyle w:val="Heading4"/>
        <w:rPr/>
      </w:pPr>
      <w:bookmarkStart w:colFirst="0" w:colLast="0" w:name="_wqlgc6b2nzut" w:id="20"/>
      <w:bookmarkEnd w:id="20"/>
      <w:r w:rsidDel="00000000" w:rsidR="00000000" w:rsidRPr="00000000">
        <w:rPr>
          <w:rtl w:val="0"/>
        </w:rPr>
        <w:t xml:space="preserve">Footer</w:t>
      </w:r>
    </w:p>
    <w:p w:rsidR="00000000" w:rsidDel="00000000" w:rsidP="00000000" w:rsidRDefault="00000000" w:rsidRPr="00000000" w14:paraId="000000A5">
      <w:pPr>
        <w:pStyle w:val="Heading5"/>
        <w:rPr/>
      </w:pPr>
      <w:bookmarkStart w:colFirst="0" w:colLast="0" w:name="_peb3rjv5wv0o" w:id="21"/>
      <w:bookmarkEnd w:id="21"/>
      <w:r w:rsidDel="00000000" w:rsidR="00000000" w:rsidRPr="00000000">
        <w:rPr>
          <w:rtl w:val="0"/>
        </w:rPr>
        <w:t xml:space="preserve">Primary</w:t>
      </w:r>
    </w:p>
    <w:p w:rsidR="00000000" w:rsidDel="00000000" w:rsidP="00000000" w:rsidRDefault="00000000" w:rsidRPr="00000000" w14:paraId="000000A6">
      <w:pPr>
        <w:rPr/>
      </w:pPr>
      <w:r w:rsidDel="00000000" w:rsidR="00000000" w:rsidRPr="00000000">
        <w:rPr>
          <w:rtl w:val="0"/>
        </w:rPr>
        <w:t xml:space="preserve">About Boreas | Our Approach | Press | Careers | Contact Us</w:t>
      </w:r>
    </w:p>
    <w:p w:rsidR="00000000" w:rsidDel="00000000" w:rsidP="00000000" w:rsidRDefault="00000000" w:rsidRPr="00000000" w14:paraId="000000A7">
      <w:pPr>
        <w:pStyle w:val="Heading5"/>
        <w:rPr/>
      </w:pPr>
      <w:bookmarkStart w:colFirst="0" w:colLast="0" w:name="_kfnzb8iksz40" w:id="22"/>
      <w:bookmarkEnd w:id="22"/>
      <w:r w:rsidDel="00000000" w:rsidR="00000000" w:rsidRPr="00000000">
        <w:rPr>
          <w:rtl w:val="0"/>
        </w:rPr>
        <w:t xml:space="preserve">Secondary</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Boreas Logo | Social Media Icons w/ links (LinkedIn, Instagram → handles TBC) | Privacy Policy | Cookie Policy | Terms &amp; Conditions | Imprint | Disclaimer (Managed through Consent Management Platform e.g. Complianz or iubenda) | © Boreas 2026. All rights reserved.</w:t>
      </w:r>
    </w:p>
    <w:p w:rsidR="00000000" w:rsidDel="00000000" w:rsidP="00000000" w:rsidRDefault="00000000" w:rsidRPr="00000000" w14:paraId="000000A9">
      <w:pPr>
        <w:pStyle w:val="Heading3"/>
        <w:rPr/>
      </w:pPr>
      <w:bookmarkStart w:colFirst="0" w:colLast="0" w:name="_r4t2j2xh3kxk" w:id="23"/>
      <w:bookmarkEnd w:id="23"/>
      <w:r w:rsidDel="00000000" w:rsidR="00000000" w:rsidRPr="00000000">
        <w:rPr>
          <w:rtl w:val="0"/>
        </w:rPr>
        <w:t xml:space="preserve">5.2 Homepage</w:t>
      </w:r>
    </w:p>
    <w:p w:rsidR="00000000" w:rsidDel="00000000" w:rsidP="00000000" w:rsidRDefault="00000000" w:rsidRPr="00000000" w14:paraId="000000AA">
      <w:pPr>
        <w:rPr/>
      </w:pPr>
      <w:r w:rsidDel="00000000" w:rsidR="00000000" w:rsidRPr="00000000">
        <w:rPr>
          <w:rtl w:val="0"/>
        </w:rPr>
        <w:t xml:space="preserve">Purpose: brand introduction, ETF discovery, and lead generation. All sections CMS-editable.</w:t>
      </w:r>
    </w:p>
    <w:p w:rsidR="00000000" w:rsidDel="00000000" w:rsidP="00000000" w:rsidRDefault="00000000" w:rsidRPr="00000000" w14:paraId="000000AB">
      <w:pPr>
        <w:widowControl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Hero Banner Carousel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Up to 5 slides with image, headline, CTA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Our ETFs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Graphical cards for each ETF. "Explore Full Lineup" CTA. Card-based, not a data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Insights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Latest 2–3 blog articles. Auto-updates.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Featured 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Highlight up to 3–4 ETFs with expanded visual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Newsletter Signup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Prominent inline block. Aggressive placement.</w:t>
            </w:r>
          </w:p>
        </w:tc>
      </w:tr>
    </w:tbl>
    <w:p w:rsidR="00000000" w:rsidDel="00000000" w:rsidP="00000000" w:rsidRDefault="00000000" w:rsidRPr="00000000" w14:paraId="000000B8">
      <w:pPr>
        <w:pStyle w:val="Heading3"/>
        <w:rPr/>
      </w:pPr>
      <w:bookmarkStart w:colFirst="0" w:colLast="0" w:name="_s6fc5wji4lnn" w:id="24"/>
      <w:bookmarkEnd w:id="24"/>
      <w:r w:rsidDel="00000000" w:rsidR="00000000" w:rsidRPr="00000000">
        <w:rPr>
          <w:rtl w:val="0"/>
        </w:rPr>
        <w:t xml:space="preserve">5.3 Our ETFs</w:t>
      </w:r>
    </w:p>
    <w:p w:rsidR="00000000" w:rsidDel="00000000" w:rsidP="00000000" w:rsidRDefault="00000000" w:rsidRPr="00000000" w14:paraId="000000B9">
      <w:pPr>
        <w:rPr/>
      </w:pPr>
      <w:r w:rsidDel="00000000" w:rsidR="00000000" w:rsidRPr="00000000">
        <w:rPr>
          <w:b w:val="1"/>
          <w:bCs w:val="1"/>
          <w:rtl w:val="0"/>
        </w:rPr>
        <w:t xml:space="preserve">Overview Page:</w:t>
      </w:r>
      <w:r w:rsidDel="00000000" w:rsidR="00000000" w:rsidRPr="00000000">
        <w:rPr>
          <w:rtl w:val="0"/>
        </w:rPr>
        <w:t xml:space="preserve"> Table or grid showing all ETFs with key data fields. Clickable to product detail pages.</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Product Detail Page:</w:t>
      </w:r>
      <w:r w:rsidDel="00000000" w:rsidR="00000000" w:rsidRPr="00000000">
        <w:rPr>
          <w:rtl w:val="0"/>
        </w:rPr>
        <w:t xml:space="preserve"> The most complex page. The unit of a product page is the share class, not the fund and not the ticker. This means 6 product pages in V1 (see Section 2.1.1). Note: most visitors will only see 3 of these pages (the European USD Acc share classes) - only visitors from UAE and GCC countries (per Section 5.7) will additionally see the ADX AED Dist share class pages. Each page combines vendor feed data with CMS content. Sections include: fund header (name, ticker, NAV, 1-day NAV change, YTD return, AUM), investment strategy description, "why invest" narrative, main risks, performance returns table (tabbed: Average Annual / Cumulative / Calendar Year), growth chart (fund vs benchmark), key facts, fund structure, key service providers, passported countries, listings table, holdings (top 10 + expandable full list), index details, documents (country-specific PDFs), data downloads, and disclaimer.</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Data Downloads:</w:t>
      </w:r>
      <w:r w:rsidDel="00000000" w:rsidR="00000000" w:rsidRPr="00000000">
        <w:rPr>
          <w:rtl w:val="0"/>
        </w:rPr>
        <w:t xml:space="preserve"> Each product detail page includes a downloads section allowing visitors to export data as CSV files. Minimum download set: current holdings, performance/return history, NAV history. Additional file types to be confirmed during design phase.</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Listings Table:</w:t>
      </w:r>
      <w:r w:rsidDel="00000000" w:rsidR="00000000" w:rsidRPr="00000000">
        <w:rPr>
          <w:rtl w:val="0"/>
        </w:rPr>
        <w:t xml:space="preserve"> Each product page includes a table showing all exchange listings for that share class. Columns: Exchange, Ticker, Currency, Listing Date, First NAV Date, SEDOL, ISIN, Bloomberg Ticker, RIC (per iShares reference pattern). European share classes will show two rows (two exchange listings); ADX share classes will show one. Field sources are mapped in the technical spec (mix of Fundinfo Static feed and manual ACF entry). Note: whether to include First NAV Date (share class launch date) is subject to competitor review - see Open Item 22. The overview page and listings table are designed to support filtering by performance and thematic category in V2 as the fund range grows.</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Country-specific behaviour:</w:t>
      </w:r>
      <w:r w:rsidDel="00000000" w:rsidR="00000000" w:rsidRPr="00000000">
        <w:rPr>
          <w:rtl w:val="0"/>
        </w:rPr>
        <w:t xml:space="preserve"> The visitor's selected country determines which share classes and documents are visible. See Section 5.7 for visibility rules. For countries that qualify for both European and ADX share classes, both must be surfaced - V1 requirement confirmed (see Open Item 15). Implementation approach TBD: options include a share class switcher dropdown (per iShares pattern) or listing all applicable share classes directly in the listings table for lower complexity.</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Default country &amp; IP lookup (decided):</w:t>
      </w:r>
      <w:r w:rsidDel="00000000" w:rsidR="00000000" w:rsidRPr="00000000">
        <w:rPr>
          <w:rtl w:val="0"/>
        </w:rPr>
        <w:t xml:space="preserve"> No default country - the first-visit modal always displays with country selection required (compliance). Selection is remembered on return visits - see Section 5.7. IP geolocation to pre-select the country in the modal dropdown is a V2 enhancement, not a V1 requirement.</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"All Other Countries" global page (decided):</w:t>
      </w:r>
      <w:r w:rsidDel="00000000" w:rsidR="00000000" w:rsidRPr="00000000">
        <w:rPr>
          <w:rtl w:val="0"/>
        </w:rPr>
        <w:t xml:space="preserve"> Visitors who select "All Other Countries" (or equivalent label) in the first-visit modal are shown a global page with basic, non-regulatory information about Boreas and the Northwind team. No fund data, share class visibility rules, or country-specific regulatory content applies to this view. VanEck maintains a similar catch-all global page as a reference. This approach replaces the previously undefined "Rest of World" behaviour.</w:t>
      </w:r>
    </w:p>
    <w:p w:rsidR="00000000" w:rsidDel="00000000" w:rsidP="00000000" w:rsidRDefault="00000000" w:rsidRPr="00000000" w14:paraId="000000C6">
      <w:pPr>
        <w:pStyle w:val="Heading3"/>
        <w:rPr/>
      </w:pPr>
      <w:bookmarkStart w:colFirst="0" w:colLast="0" w:name="_g9z6ocj0gn9k" w:id="25"/>
      <w:bookmarkEnd w:id="25"/>
      <w:r w:rsidDel="00000000" w:rsidR="00000000" w:rsidRPr="00000000">
        <w:rPr>
          <w:rtl w:val="0"/>
        </w:rPr>
        <w:t xml:space="preserve">5.4 Insights (Blog / Articles / Research)</w:t>
      </w:r>
    </w:p>
    <w:p w:rsidR="00000000" w:rsidDel="00000000" w:rsidP="00000000" w:rsidRDefault="00000000" w:rsidRPr="00000000" w14:paraId="000000C7">
      <w:pPr>
        <w:rPr/>
      </w:pPr>
      <w:r w:rsidDel="00000000" w:rsidR="00000000" w:rsidRPr="00000000">
        <w:rPr>
          <w:rtl w:val="0"/>
        </w:rPr>
        <w:t xml:space="preserve">WordPress blog with content categories including: Thematic Research, Market Updates, and News. Supports images, video embeds, social share. The Thematic Research category is the home for investment-case editorial content (e.g. "Why AI infrastructure needs power", "Why Quantum Computing is the next chip industry", "Why Luxury is a wealth proxy") - addressing the "why invest" question in long-form editorial format. Seed with 5–10 posts at launch.</w:t>
      </w:r>
    </w:p>
    <w:p w:rsidR="00000000" w:rsidDel="00000000" w:rsidP="00000000" w:rsidRDefault="00000000" w:rsidRPr="00000000" w14:paraId="000000C8">
      <w:pPr>
        <w:pStyle w:val="Heading3"/>
        <w:rPr/>
      </w:pPr>
      <w:bookmarkStart w:colFirst="0" w:colLast="0" w:name="_cf3r50jg2yok" w:id="26"/>
      <w:bookmarkEnd w:id="26"/>
      <w:r w:rsidDel="00000000" w:rsidR="00000000" w:rsidRPr="00000000">
        <w:rPr>
          <w:rtl w:val="0"/>
        </w:rPr>
        <w:t xml:space="preserve">5.5 About Us</w:t>
      </w:r>
    </w:p>
    <w:p w:rsidR="00000000" w:rsidDel="00000000" w:rsidP="00000000" w:rsidRDefault="00000000" w:rsidRPr="00000000" w14:paraId="000000C9">
      <w:pPr>
        <w:rPr/>
      </w:pPr>
      <w:r w:rsidDel="00000000" w:rsidR="00000000" w:rsidRPr="00000000">
        <w:rPr>
          <w:b w:val="1"/>
          <w:bCs w:val="1"/>
          <w:rtl w:val="0"/>
        </w:rPr>
        <w:t xml:space="preserve">Our Vision:</w:t>
      </w:r>
      <w:r w:rsidDel="00000000" w:rsidR="00000000" w:rsidRPr="00000000">
        <w:rPr>
          <w:rtl w:val="0"/>
        </w:rPr>
        <w:t xml:space="preserve"> Rich text. CMS-editable.</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Meet the Team:</w:t>
      </w:r>
      <w:r w:rsidDel="00000000" w:rsidR="00000000" w:rsidRPr="00000000">
        <w:rPr>
          <w:rtl w:val="0"/>
        </w:rPr>
        <w:t xml:space="preserve"> Grid of cards (photo, name, title, LinkedIn). CMS-editable.</w:t>
      </w:r>
    </w:p>
    <w:p w:rsidR="00000000" w:rsidDel="00000000" w:rsidP="00000000" w:rsidRDefault="00000000" w:rsidRPr="00000000" w14:paraId="000000CC">
      <w:pPr>
        <w:pStyle w:val="Heading3"/>
        <w:rPr/>
      </w:pPr>
      <w:bookmarkStart w:colFirst="0" w:colLast="0" w:name="_obxti3olnv81" w:id="27"/>
      <w:bookmarkEnd w:id="27"/>
      <w:r w:rsidDel="00000000" w:rsidR="00000000" w:rsidRPr="00000000">
        <w:rPr>
          <w:rtl w:val="0"/>
        </w:rPr>
        <w:t xml:space="preserve">5.6 Contact Us</w:t>
      </w:r>
    </w:p>
    <w:p w:rsidR="00000000" w:rsidDel="00000000" w:rsidP="00000000" w:rsidRDefault="00000000" w:rsidRPr="00000000" w14:paraId="000000CD">
      <w:pPr>
        <w:rPr/>
      </w:pPr>
      <w:r w:rsidDel="00000000" w:rsidR="00000000" w:rsidRPr="00000000">
        <w:rPr>
          <w:rtl w:val="0"/>
        </w:rPr>
        <w:t xml:space="preserve">Contact form (Name, Email, Message). Public email: </w:t>
      </w:r>
      <w:hyperlink r:id="rId9">
        <w:r w:rsidDel="00000000" w:rsidR="00000000" w:rsidRPr="00000000">
          <w:rPr>
            <w:color w:val="1155cc"/>
            <w:u w:val="single"/>
            <w:rtl w:val="0"/>
          </w:rPr>
          <w:t xml:space="preserve">etf@boreasetfs.com</w:t>
        </w:r>
      </w:hyperlink>
      <w:r w:rsidDel="00000000" w:rsidR="00000000" w:rsidRPr="00000000">
        <w:rPr>
          <w:rtl w:val="0"/>
        </w:rPr>
        <w:t xml:space="preserve">. To integrate with HubSpot.</w:t>
      </w:r>
    </w:p>
    <w:p w:rsidR="00000000" w:rsidDel="00000000" w:rsidP="00000000" w:rsidRDefault="00000000" w:rsidRPr="00000000" w14:paraId="000000CE">
      <w:pPr>
        <w:pStyle w:val="Heading3"/>
        <w:rPr/>
      </w:pPr>
      <w:bookmarkStart w:colFirst="0" w:colLast="0" w:name="_b57otyx3h41n" w:id="28"/>
      <w:bookmarkEnd w:id="28"/>
      <w:r w:rsidDel="00000000" w:rsidR="00000000" w:rsidRPr="00000000">
        <w:rPr>
          <w:rtl w:val="0"/>
        </w:rPr>
        <w:t xml:space="preserve">5.7 Country &amp; Investor Segmentation</w:t>
      </w:r>
    </w:p>
    <w:p w:rsidR="00000000" w:rsidDel="00000000" w:rsidP="00000000" w:rsidRDefault="00000000" w:rsidRPr="00000000" w14:paraId="000000CF">
      <w:pPr>
        <w:rPr/>
      </w:pPr>
      <w:r w:rsidDel="00000000" w:rsidR="00000000" w:rsidRPr="00000000">
        <w:rPr>
          <w:rtl w:val="0"/>
        </w:rPr>
        <w:t xml:space="preserve">Regulatory requirement and V1 priority. First-visit modal requests country, investor type, and GDPR consent. Selection persists in a cookie and is remembered on subsequent visits from the same browser. Selection can be changed at any time via the Country Selector and Investor Type dropdowns in the header.</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Country</w:t>
      </w:r>
      <w:r w:rsidDel="00000000" w:rsidR="00000000" w:rsidRPr="00000000">
        <w:rPr>
          <w:rtl w:val="0"/>
        </w:rPr>
        <w:t xml:space="preserve"> determines ETF visibility, ticker display, documents shown, and GDPR banner behaviour.</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Investor type</w:t>
      </w:r>
      <w:r w:rsidDel="00000000" w:rsidR="00000000" w:rsidRPr="00000000">
        <w:rPr>
          <w:rtl w:val="0"/>
        </w:rPr>
        <w:t xml:space="preserve"> (Professional Investor / Individual Investor) is captured and stored in a cookie for regulatory compliance. In V1, page content does not differ between investor types. A URL slug for investor type is not introduced - see architecture decision #8 and closed Open Item 16.</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Note: some jurisdictions (e.g. Switzerland) may use different naming conventions or a three-tier classification (e.g. Individual Investor / Accredited Investor / Professional Investor). Adapting the modal to accommodate jurisdiction-specific investor type labels is deferred to V2 - see Open Item 21.</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Supported Countries (V1):</w:t>
      </w:r>
      <w:r w:rsidDel="00000000" w:rsidR="00000000" w:rsidRPr="00000000">
        <w:rPr>
          <w:rtl w:val="0"/>
        </w:rPr>
        <w:t xml:space="preserve"> Austria, Denmark, Finland, France, Germany, Italy, Luxembourg, Netherlands, Norway, Poland, Spain, Sweden, Switzerland, UAE, UK, All Other Countries.</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Singapore and Hong Kong are excluded from V1 due to compliance and regulatory considerations. These markets require careful review before going live. Geir to provide further detail on requirements. See Open Item 19.</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"All Other Countries"</w:t>
      </w:r>
      <w:r w:rsidDel="00000000" w:rsidR="00000000" w:rsidRPr="00000000">
        <w:rPr>
          <w:rtl w:val="0"/>
        </w:rPr>
        <w:t xml:space="preserve"> is the modal option for visitors from unlisted countries. It leads to a non-regulatory global page - see Section 5.3.</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Share class visibility logic:</w:t>
      </w:r>
      <w:r w:rsidDel="00000000" w:rsidR="00000000" w:rsidRPr="00000000">
        <w:rPr>
          <w:rtl w:val="0"/>
        </w:rPr>
        <w:t xml:space="preserve"> All countries see European share classes (USD Acc). ADX share classes (AED Dist) are additionally visible to the following countries: UAE, Saudi Arabia, Kuwait, Qatar, Oman, Bahrain, Egypt, Jordan, Lebanon, Morocco, Tunisia, Algeria, Iraq, India, Pakistan. All other countries see European share classes only. This classification has no corresponding Fundinfo field and must be manually configured via ACF (a "share class type" flag per share class, with country-to-type mapping rules).</w:t>
      </w:r>
    </w:p>
    <w:p w:rsidR="00000000" w:rsidDel="00000000" w:rsidP="00000000" w:rsidRDefault="00000000" w:rsidRPr="00000000" w14:paraId="000000DE">
      <w:pPr>
        <w:pStyle w:val="Heading3"/>
        <w:rPr/>
      </w:pPr>
      <w:bookmarkStart w:colFirst="0" w:colLast="0" w:name="_bbzlcliijzck" w:id="29"/>
      <w:bookmarkEnd w:id="29"/>
      <w:r w:rsidDel="00000000" w:rsidR="00000000" w:rsidRPr="00000000">
        <w:rPr>
          <w:rtl w:val="0"/>
        </w:rPr>
        <w:t xml:space="preserve">5.8 GDPR &amp; Compliance</w:t>
      </w:r>
    </w:p>
    <w:p w:rsidR="00000000" w:rsidDel="00000000" w:rsidP="00000000" w:rsidRDefault="00000000" w:rsidRPr="00000000" w14:paraId="000000DF">
      <w:pPr>
        <w:rPr/>
      </w:pPr>
      <w:r w:rsidDel="00000000" w:rsidR="00000000" w:rsidRPr="00000000">
        <w:rPr>
          <w:rtl w:val="0"/>
        </w:rPr>
        <w:t xml:space="preserve">Geo-aware consent banner via WordPress plugin + GTM. Consent-dependent GA4 tracking.</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GDPR data subject rights:</w:t>
      </w:r>
      <w:r w:rsidDel="00000000" w:rsidR="00000000" w:rsidRPr="00000000">
        <w:rPr>
          <w:rtl w:val="0"/>
        </w:rPr>
        <w:t xml:space="preserve"> The site must support the full range of GDPR data subject rights, including the right to erasure (right to be forgotten). Users must be able to request deletion of their personal data. A practical implementation approach: the compliance plugin (e.g. Complianz or iubenda) typically handles consent records and cookie data; HubSpot handles contact data and provides built-in GDPR tools for data deletion requests. The combination of these two platforms is expected to cover the V1 requirements. Implementation to be confirmed during build.</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Cookie Policy page:</w:t>
      </w:r>
      <w:r w:rsidDel="00000000" w:rsidR="00000000" w:rsidRPr="00000000">
        <w:rPr>
          <w:rtl w:val="0"/>
        </w:rPr>
        <w:t xml:space="preserve"> A dedicated Cookie Policy page is required, documenting each cookie stored on the visitor's browser - name, purpose, provider, and expiry. This is a standard EU/GDPR requirement. Reference: BlackRock publishes such a page. The Consent Management Platform (Complianz or iubenda) typically generates and maintains this page automatically as part of its plugin functionality.</w:t>
      </w:r>
    </w:p>
    <w:p w:rsidR="00000000" w:rsidDel="00000000" w:rsidP="00000000" w:rsidRDefault="00000000" w:rsidRPr="00000000" w14:paraId="000000E4">
      <w:pPr>
        <w:pStyle w:val="Heading3"/>
        <w:rPr/>
      </w:pPr>
      <w:bookmarkStart w:colFirst="0" w:colLast="0" w:name="_fh0rxvw27kwq" w:id="30"/>
      <w:bookmarkEnd w:id="30"/>
      <w:r w:rsidDel="00000000" w:rsidR="00000000" w:rsidRPr="00000000">
        <w:rPr>
          <w:rtl w:val="0"/>
        </w:rPr>
        <w:t xml:space="preserve">5.9 Site Search</w:t>
      </w:r>
    </w:p>
    <w:p w:rsidR="00000000" w:rsidDel="00000000" w:rsidP="00000000" w:rsidRDefault="00000000" w:rsidRPr="00000000" w14:paraId="000000E5">
      <w:pPr>
        <w:rPr/>
      </w:pPr>
      <w:r w:rsidDel="00000000" w:rsidR="00000000" w:rsidRPr="00000000">
        <w:rPr>
          <w:rtl w:val="0"/>
        </w:rPr>
        <w:t xml:space="preserve">Not included in V1. The ETF listing page serves as the fund discovery entry point and is sufficient for the current fund range. Full site search will be considered in V2 as content volume grows.</w:t>
      </w:r>
    </w:p>
    <w:p w:rsidR="00000000" w:rsidDel="00000000" w:rsidP="00000000" w:rsidRDefault="00000000" w:rsidRPr="00000000" w14:paraId="000000E6">
      <w:pPr>
        <w:pStyle w:val="Heading3"/>
        <w:rPr/>
      </w:pPr>
      <w:bookmarkStart w:colFirst="0" w:colLast="0" w:name="_43x2p4f7sg1g" w:id="31"/>
      <w:bookmarkEnd w:id="31"/>
      <w:r w:rsidDel="00000000" w:rsidR="00000000" w:rsidRPr="00000000">
        <w:rPr>
          <w:rtl w:val="0"/>
        </w:rPr>
        <w:t xml:space="preserve">5.10 Newsletter &amp; CRM</w:t>
      </w:r>
    </w:p>
    <w:p w:rsidR="00000000" w:rsidDel="00000000" w:rsidP="00000000" w:rsidRDefault="00000000" w:rsidRPr="00000000" w14:paraId="000000E7">
      <w:pPr>
        <w:rPr/>
      </w:pPr>
      <w:r w:rsidDel="00000000" w:rsidR="00000000" w:rsidRPr="00000000">
        <w:rPr>
          <w:rtl w:val="0"/>
        </w:rPr>
        <w:t xml:space="preserve">Captures email + country + investor type. Prominent placement throughout the site.</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CRM Platform: HubSpot (decided)</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HubSpot is a modular platform - each "Hub" is a separate product sitting on top of a shared free CRM database (Smart CRM). You only pay for the hubs you activate. Below is the breakdown relevant to Boreas:</w:t>
      </w:r>
    </w:p>
    <w:p w:rsidR="00000000" w:rsidDel="00000000" w:rsidP="00000000" w:rsidRDefault="00000000" w:rsidRPr="00000000" w14:paraId="000000EC">
      <w:pPr>
        <w:widowControl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Smart CRM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Included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The contact database backbone. Included automatically with any paid plan. Not a separate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Marketing Hub Starter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Required (~$20/month)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Covers all V1 needs: newsletter signup forms, email campaigns, contact lists, bulk Excel/CSV import, basic automation (welcome series), contact engagement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Sales 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Maybe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For formal sales pipelines, deal tracking, and one-to-one outreach sequences. Not needed if distribution team manages outreach manually. Revisit if volume of qualified leads warrants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Service 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Customer support ticketing and helpdesk. No support workflow planned for Boreas.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b w:val="1"/>
                <w:bCs w:val="1"/>
                <w:rtl w:val="0"/>
              </w:rPr>
              <w:t xml:space="preserve">Content 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HubSpot's own CMS and blog tools. Boreas uses WordPress.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bCs w:val="1"/>
                <w:rtl w:val="0"/>
              </w:rPr>
              <w:t xml:space="preserve">Data 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Data management and warehousing for large organisations. Out of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Commerce 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Billing, payments, CPQ. Not applicable.</w:t>
            </w:r>
          </w:p>
        </w:tc>
      </w:tr>
    </w:tbl>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Note on pricing:</w:t>
      </w:r>
      <w:r w:rsidDel="00000000" w:rsidR="00000000" w:rsidRPr="00000000">
        <w:rPr>
          <w:rtl w:val="0"/>
        </w:rPr>
        <w:t xml:space="preserve"> The ~$100/month figure refers to the Small Business Bundle (Starter edition of all hubs). For V1, only Marketing Hub Starter is needed at ~$20/month. See </w:t>
      </w:r>
      <w:hyperlink r:id="rId10">
        <w:r w:rsidDel="00000000" w:rsidR="00000000" w:rsidRPr="00000000">
          <w:rPr>
            <w:color w:val="1155cc"/>
            <w:u w:val="single"/>
            <w:rtl w:val="0"/>
          </w:rPr>
          <w:t xml:space="preserve">HubSpot Marketing Pricing</w:t>
        </w:r>
      </w:hyperlink>
      <w:r w:rsidDel="00000000" w:rsidR="00000000" w:rsidRPr="00000000">
        <w:rPr>
          <w:rtl w:val="0"/>
        </w:rPr>
        <w:t xml:space="preserve">.</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List requirements:</w:t>
      </w: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numPr>
          <w:ilvl w:val="0"/>
          <w:numId w:val="2"/>
        </w:numPr>
        <w:ind w:left="720" w:hanging="360"/>
      </w:pPr>
      <w:r w:rsidDel="00000000" w:rsidR="00000000" w:rsidRPr="00000000">
        <w:rPr>
          <w:b w:val="1"/>
          <w:bCs w:val="1"/>
          <w:rtl w:val="0"/>
        </w:rPr>
        <w:t xml:space="preserve">Organic list:</w:t>
      </w:r>
      <w:r w:rsidDel="00000000" w:rsidR="00000000" w:rsidRPr="00000000">
        <w:rPr>
          <w:rtl w:val="0"/>
        </w:rPr>
        <w:t xml:space="preserve"> Contacts captured via website (newsletter signups, contact form, factsheet downloads) - synced automatically</w:t>
      </w:r>
    </w:p>
    <w:p w:rsidR="00000000" w:rsidDel="00000000" w:rsidP="00000000" w:rsidRDefault="00000000" w:rsidRPr="00000000" w14:paraId="0000010B">
      <w:pPr>
        <w:numPr>
          <w:ilvl w:val="0"/>
          <w:numId w:val="2"/>
        </w:numPr>
        <w:ind w:left="720" w:hanging="360"/>
      </w:pPr>
      <w:r w:rsidDel="00000000" w:rsidR="00000000" w:rsidRPr="00000000">
        <w:rPr>
          <w:b w:val="1"/>
          <w:bCs w:val="1"/>
          <w:rtl w:val="0"/>
        </w:rPr>
        <w:t xml:space="preserve">Adhoc list:</w:t>
      </w:r>
      <w:r w:rsidDel="00000000" w:rsidR="00000000" w:rsidRPr="00000000">
        <w:rPr>
          <w:rtl w:val="0"/>
        </w:rPr>
        <w:t xml:space="preserve"> Manually managed list loaded via bulk Excel/CSV import, used for separate sendouts not tied to website activity. Both supported in Marketing Hub Starter.</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Branded email template (confirmed in scope):</w:t>
      </w:r>
      <w:r w:rsidDel="00000000" w:rsidR="00000000" w:rsidRPr="00000000">
        <w:rPr>
          <w:rtl w:val="0"/>
        </w:rPr>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 branded/custom email template is required for the Boreas team to use HubSpot effectively from day one. Viktor confirmed this is in scope for Double Wolf. Responsibility: Double Wolf leads design and build, with input and support from Zaahir. The template must reflect the Boreas brand identity (colours, typography, logo) and cover at minimum: newsletter/campaign emails and automated welcome series. Template design is dependent on Zaahir delivering the brand package - see Open Item 23.</w:t>
      </w:r>
    </w:p>
    <w:p w:rsidR="00000000" w:rsidDel="00000000" w:rsidP="00000000" w:rsidRDefault="00000000" w:rsidRPr="00000000" w14:paraId="00000110">
      <w:pPr>
        <w:pStyle w:val="Heading3"/>
        <w:rPr/>
      </w:pPr>
      <w:bookmarkStart w:colFirst="0" w:colLast="0" w:name="_8k1zknvbqgqz" w:id="32"/>
      <w:bookmarkEnd w:id="32"/>
      <w:r w:rsidDel="00000000" w:rsidR="00000000" w:rsidRPr="00000000">
        <w:rPr>
          <w:rFonts w:ascii="Arial Unicode MS" w:cs="Arial Unicode MS" w:eastAsia="Arial Unicode MS" w:hAnsi="Arial Unicode MS"/>
          <w:rtl w:val="0"/>
        </w:rPr>
        <w:t xml:space="preserve">5.11 BoreasETFs ↔ LunateETFs Navigation</w:t>
      </w:r>
    </w:p>
    <w:p w:rsidR="00000000" w:rsidDel="00000000" w:rsidP="00000000" w:rsidRDefault="00000000" w:rsidRPr="00000000" w14:paraId="00000111">
      <w:pPr>
        <w:rPr/>
      </w:pPr>
      <w:r w:rsidDel="00000000" w:rsidR="00000000" w:rsidRPr="00000000">
        <w:rPr>
          <w:rtl w:val="0"/>
        </w:rPr>
        <w:t xml:space="preserve">Simple header link in V1 (Lunate logo in top header bar, opening etfs.lunate.com in new tab). See note in Section 5.1 on removability.</w:t>
      </w:r>
    </w:p>
    <w:p w:rsidR="00000000" w:rsidDel="00000000" w:rsidP="00000000" w:rsidRDefault="00000000" w:rsidRPr="00000000" w14:paraId="00000112">
      <w:pPr>
        <w:pStyle w:val="Heading3"/>
        <w:rPr/>
      </w:pPr>
      <w:bookmarkStart w:colFirst="0" w:colLast="0" w:name="_avtnv48cpm1i" w:id="33"/>
      <w:bookmarkEnd w:id="33"/>
      <w:r w:rsidDel="00000000" w:rsidR="00000000" w:rsidRPr="00000000">
        <w:rPr>
          <w:rtl w:val="0"/>
        </w:rPr>
        <w:t xml:space="preserve">5.12 FAQ</w:t>
      </w:r>
    </w:p>
    <w:p w:rsidR="00000000" w:rsidDel="00000000" w:rsidP="00000000" w:rsidRDefault="00000000" w:rsidRPr="00000000" w14:paraId="00000113">
      <w:pPr>
        <w:rPr/>
      </w:pPr>
      <w:r w:rsidDel="00000000" w:rsidR="00000000" w:rsidRPr="00000000">
        <w:rPr>
          <w:rtl w:val="0"/>
        </w:rPr>
        <w:t xml:space="preserve">Dedicated FAQ page answering common investor questions (e.g. about the funds, the platform, country eligibility, how to invest). CMS-editable. Linked from main navigation and relevant product pages. Content to be provided by the Boreas team.</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5ibautgati3a" w:id="34"/>
      <w:bookmarkEnd w:id="34"/>
      <w:r w:rsidDel="00000000" w:rsidR="00000000" w:rsidRPr="00000000">
        <w:rPr>
          <w:rtl w:val="0"/>
        </w:rPr>
        <w:t xml:space="preserve">6. SEO, Analytics &amp; Tagging</w:t>
      </w:r>
    </w:p>
    <w:p w:rsidR="00000000" w:rsidDel="00000000" w:rsidP="00000000" w:rsidRDefault="00000000" w:rsidRPr="00000000" w14:paraId="00000117">
      <w:pPr>
        <w:pStyle w:val="Heading3"/>
        <w:rPr/>
      </w:pPr>
      <w:bookmarkStart w:colFirst="0" w:colLast="0" w:name="_nr964vubc0cm" w:id="35"/>
      <w:bookmarkEnd w:id="35"/>
      <w:r w:rsidDel="00000000" w:rsidR="00000000" w:rsidRPr="00000000">
        <w:rPr>
          <w:rtl w:val="0"/>
        </w:rPr>
        <w:t xml:space="preserve">Core Build (V1)</w:t>
      </w:r>
    </w:p>
    <w:p w:rsidR="00000000" w:rsidDel="00000000" w:rsidP="00000000" w:rsidRDefault="00000000" w:rsidRPr="00000000" w14:paraId="00000118">
      <w:pPr>
        <w:numPr>
          <w:ilvl w:val="0"/>
          <w:numId w:val="2"/>
        </w:numPr>
        <w:ind w:left="720" w:hanging="360"/>
      </w:pPr>
      <w:r w:rsidDel="00000000" w:rsidR="00000000" w:rsidRPr="00000000">
        <w:rPr>
          <w:b w:val="1"/>
          <w:bCs w:val="1"/>
          <w:rtl w:val="0"/>
        </w:rPr>
        <w:t xml:space="preserve">Google Tag Manager:</w:t>
      </w:r>
      <w:r w:rsidDel="00000000" w:rsidR="00000000" w:rsidRPr="00000000">
        <w:rPr>
          <w:rtl w:val="0"/>
        </w:rPr>
        <w:t xml:space="preserve"> Container on all pages. Single integration point for all tracking.</w:t>
      </w:r>
    </w:p>
    <w:p w:rsidR="00000000" w:rsidDel="00000000" w:rsidP="00000000" w:rsidRDefault="00000000" w:rsidRPr="00000000" w14:paraId="00000119">
      <w:pPr>
        <w:numPr>
          <w:ilvl w:val="0"/>
          <w:numId w:val="2"/>
        </w:numPr>
        <w:ind w:left="720" w:hanging="360"/>
      </w:pPr>
      <w:r w:rsidDel="00000000" w:rsidR="00000000" w:rsidRPr="00000000">
        <w:rPr>
          <w:b w:val="1"/>
          <w:bCs w:val="1"/>
          <w:rtl w:val="0"/>
        </w:rPr>
        <w:t xml:space="preserve">GA4:</w:t>
      </w:r>
      <w:r w:rsidDel="00000000" w:rsidR="00000000" w:rsidRPr="00000000">
        <w:rPr>
          <w:rtl w:val="0"/>
        </w:rPr>
        <w:t xml:space="preserve"> Consent-aware. Pageview + basic event tracking (e.g. scroll depth, CTA clicks)</w:t>
      </w:r>
    </w:p>
    <w:p w:rsidR="00000000" w:rsidDel="00000000" w:rsidP="00000000" w:rsidRDefault="00000000" w:rsidRPr="00000000" w14:paraId="0000011A">
      <w:pPr>
        <w:numPr>
          <w:ilvl w:val="0"/>
          <w:numId w:val="2"/>
        </w:numPr>
        <w:ind w:left="720" w:hanging="360"/>
      </w:pPr>
      <w:r w:rsidDel="00000000" w:rsidR="00000000" w:rsidRPr="00000000">
        <w:rPr>
          <w:b w:val="1"/>
          <w:bCs w:val="1"/>
          <w:rtl w:val="0"/>
        </w:rPr>
        <w:t xml:space="preserve">Schema Markup (Basic):</w:t>
      </w:r>
      <w:r w:rsidDel="00000000" w:rsidR="00000000" w:rsidRPr="00000000">
        <w:rPr>
          <w:rtl w:val="0"/>
        </w:rPr>
        <w:t xml:space="preserve"> Organization, BreadcrumbList, Article. JSON-LD. Handled via Yoast SEO plugin.</w:t>
      </w:r>
    </w:p>
    <w:p w:rsidR="00000000" w:rsidDel="00000000" w:rsidP="00000000" w:rsidRDefault="00000000" w:rsidRPr="00000000" w14:paraId="0000011B">
      <w:pPr>
        <w:numPr>
          <w:ilvl w:val="0"/>
          <w:numId w:val="2"/>
        </w:numPr>
        <w:ind w:left="720" w:hanging="360"/>
      </w:pPr>
      <w:r w:rsidDel="00000000" w:rsidR="00000000" w:rsidRPr="00000000">
        <w:rPr>
          <w:b w:val="1"/>
          <w:bCs w:val="1"/>
          <w:rtl w:val="0"/>
        </w:rPr>
        <w:t xml:space="preserve">Technical SEO:</w:t>
      </w:r>
      <w:r w:rsidDel="00000000" w:rsidR="00000000" w:rsidRPr="00000000">
        <w:rPr>
          <w:rtl w:val="0"/>
        </w:rPr>
        <w:t xml:space="preserve"> Clean URLs, XML sitemap, robots.txt, canonical tags, CMS-editable meta titles/descriptions, heading hierarchy, hreflang prep.</w:t>
      </w:r>
    </w:p>
    <w:p w:rsidR="00000000" w:rsidDel="00000000" w:rsidP="00000000" w:rsidRDefault="00000000" w:rsidRPr="00000000" w14:paraId="0000011C">
      <w:pPr>
        <w:numPr>
          <w:ilvl w:val="0"/>
          <w:numId w:val="2"/>
        </w:numPr>
        <w:ind w:left="720" w:hanging="360"/>
      </w:pPr>
      <w:r w:rsidDel="00000000" w:rsidR="00000000" w:rsidRPr="00000000">
        <w:rPr>
          <w:b w:val="1"/>
          <w:bCs w:val="1"/>
          <w:rtl w:val="0"/>
        </w:rPr>
        <w:t xml:space="preserve">Search Console:</w:t>
      </w:r>
      <w:r w:rsidDel="00000000" w:rsidR="00000000" w:rsidRPr="00000000">
        <w:rPr>
          <w:rtl w:val="0"/>
        </w:rPr>
        <w:t xml:space="preserve"> Setup, domain verification, and sitemap submission. Ongoing monitoring.</w:t>
      </w:r>
    </w:p>
    <w:p w:rsidR="00000000" w:rsidDel="00000000" w:rsidP="00000000" w:rsidRDefault="00000000" w:rsidRPr="00000000" w14:paraId="0000011D">
      <w:pPr>
        <w:pStyle w:val="Heading3"/>
        <w:rPr/>
      </w:pPr>
      <w:bookmarkStart w:colFirst="0" w:colLast="0" w:name="_i61u352zh26" w:id="36"/>
      <w:bookmarkEnd w:id="36"/>
      <w:r w:rsidDel="00000000" w:rsidR="00000000" w:rsidRPr="00000000">
        <w:rPr>
          <w:rtl w:val="0"/>
        </w:rPr>
        <w:t xml:space="preserve">WordPress Plugins (SEO &amp; Compliance)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Yoast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Meta titles/descriptions, XML sitemap, basic schema markup (Organization, Article, BreadcrumbList), heading analysis, canonical 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Complianz or iubenda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Consent Management Platform (CMP). Cookie banner, geo-targeted consent, GDPR/ePrivacy compliance. Deployed via GTM. Includes Cookie Policy page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Advanced Custom Fields (ACF)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Manual data fields for fund data, ticker mappings, country visibility rules</w:t>
            </w:r>
          </w:p>
        </w:tc>
      </w:tr>
    </w:tbl>
    <w:p w:rsidR="00000000" w:rsidDel="00000000" w:rsidP="00000000" w:rsidRDefault="00000000" w:rsidRPr="00000000" w14:paraId="00000126">
      <w:pPr>
        <w:pStyle w:val="Heading3"/>
        <w:rPr/>
      </w:pPr>
      <w:bookmarkStart w:colFirst="0" w:colLast="0" w:name="_9ojyelbx4sw7" w:id="37"/>
      <w:bookmarkEnd w:id="37"/>
      <w:r w:rsidDel="00000000" w:rsidR="00000000" w:rsidRPr="00000000">
        <w:rPr>
          <w:rtl w:val="0"/>
        </w:rPr>
        <w:t xml:space="preserve">Separate Workstream (V2 unless client decides otherwise)</w:t>
      </w:r>
    </w:p>
    <w:p w:rsidR="00000000" w:rsidDel="00000000" w:rsidP="00000000" w:rsidRDefault="00000000" w:rsidRPr="00000000" w14:paraId="00000127">
      <w:pPr>
        <w:rPr/>
      </w:pPr>
      <w:r w:rsidDel="00000000" w:rsidR="00000000" w:rsidRPr="00000000">
        <w:rPr>
          <w:rtl w:val="0"/>
        </w:rPr>
        <w:t xml:space="preserve">The following items add scope and cost beyond the core build. They are recommended as a follow-on workstream after launch, but can be brought into V1 if the client prioritises them:</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Advanced GTM event tracking (e.g. form submissions, PDF downloads).</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CRM form integration via GTM (HubSpot form tracking, lead source attribution)</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Advanced schema markup (FinancialProduct, FAQPage)</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Marketing pixels (e.g. LinkedIn Insight Tag, Meta Pixel) deployed via GTM</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GTM in V1 means any future tagging or pixels can be added without code changes to the website. This is why it's in the core build. It's the enabler for everything that follows.</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rPr/>
      </w:pPr>
      <w:bookmarkStart w:colFirst="0" w:colLast="0" w:name="_dwiq4bt5pnv0" w:id="38"/>
      <w:bookmarkEnd w:id="38"/>
      <w:r w:rsidDel="00000000" w:rsidR="00000000" w:rsidRPr="00000000">
        <w:rPr>
          <w:rtl w:val="0"/>
        </w:rPr>
        <w:t xml:space="preserve">7. URL Structure &amp; Internationalisation</w:t>
      </w:r>
    </w:p>
    <w:p w:rsidR="00000000" w:rsidDel="00000000" w:rsidP="00000000" w:rsidRDefault="00000000" w:rsidRPr="00000000" w14:paraId="00000132">
      <w:pPr>
        <w:rPr/>
      </w:pPr>
      <w:r w:rsidDel="00000000" w:rsidR="00000000" w:rsidRPr="00000000">
        <w:rPr>
          <w:b w:val="1"/>
          <w:bCs w:val="1"/>
          <w:rtl w:val="0"/>
        </w:rPr>
        <w:t xml:space="preserve">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/{country-slug}/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/ae/</w:t>
      </w:r>
      <w:r w:rsidDel="00000000" w:rsidR="00000000" w:rsidRPr="00000000">
        <w:rPr>
          <w:rtl w:val="0"/>
        </w:rPr>
        <w:t xml:space="preserve">)</w:t>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V1:</w:t>
      </w:r>
      <w:r w:rsidDel="00000000" w:rsidR="00000000" w:rsidRPr="00000000">
        <w:rPr>
          <w:rtl w:val="0"/>
        </w:rPr>
        <w:t xml:space="preserve"> English only. The site is built with language extensibility in mind - all document handling, CMS fields, and templates should support multiple language variants in V2 without requiring structural rework. Each share class has its own product page URL with distinct data (different ISIN, currency, NAV, exchange listings), so European and ADX pages for the same fund are not duplicates. Self-referencing canonical tags on all pages. No cross-referencing canonicals or hreflang needed between share class pages. URL structure kept clean to avoid duplicate content indexing penalties across markets serving the same language.</w:t>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V2+:</w:t>
      </w:r>
      <w:r w:rsidDel="00000000" w:rsidR="00000000" w:rsidRPr="00000000">
        <w:rPr>
          <w:rtl w:val="0"/>
        </w:rPr>
        <w:t xml:space="preserve"> Multi-language support (e.g., German and English for Germany) introduced via sub-paths (</w:t>
      </w:r>
      <w:r w:rsidDel="00000000" w:rsidR="00000000" w:rsidRPr="00000000">
        <w:rPr>
          <w:rFonts w:ascii="Roboto Mono" w:cs="Roboto Mono" w:eastAsia="Roboto Mono" w:hAnsi="Roboto Mono"/>
          <w:color w:val="188038"/>
          <w:rtl w:val="0"/>
        </w:rPr>
        <w:t xml:space="preserve">/de/de/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/de/en/</w:t>
      </w:r>
      <w:r w:rsidDel="00000000" w:rsidR="00000000" w:rsidRPr="00000000">
        <w:rPr>
          <w:rtl w:val="0"/>
        </w:rPr>
        <w:t xml:space="preserve">) or query parameters, with WPML or Polylang. Full hreflang implementation at that point.</w:t>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Domain redirects:</w:t>
      </w:r>
      <w:r w:rsidDel="00000000" w:rsidR="00000000" w:rsidRPr="00000000">
        <w:rPr>
          <w:rtl w:val="0"/>
        </w:rPr>
        <w:t xml:space="preserve"> BoreasETF.com (without the "s") already redirects to BoreasETFs.com. Whether country-specific domains (e.g. boreasetf.de, boreasetfs.de) should also redirect to the main domain is an open item - see Open Item 20.</w:t>
      </w:r>
    </w:p>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rPr/>
      </w:pPr>
      <w:bookmarkStart w:colFirst="0" w:colLast="0" w:name="_2buj20ls46ul" w:id="39"/>
      <w:bookmarkEnd w:id="39"/>
      <w:r w:rsidDel="00000000" w:rsidR="00000000" w:rsidRPr="00000000">
        <w:rPr>
          <w:rtl w:val="0"/>
        </w:rPr>
        <w:t xml:space="preserve">8. Design Direction</w:t>
      </w:r>
    </w:p>
    <w:p w:rsidR="00000000" w:rsidDel="00000000" w:rsidP="00000000" w:rsidRDefault="00000000" w:rsidRPr="00000000" w14:paraId="0000013C">
      <w:pPr>
        <w:rPr/>
      </w:pPr>
      <w:r w:rsidDel="00000000" w:rsidR="00000000" w:rsidRPr="00000000">
        <w:rPr>
          <w:rtl w:val="0"/>
        </w:rPr>
        <w:t xml:space="preserve">Zaahir (Lunate designer) supports overall vision. An additional designer translates to engineering specs. A call between the external designer and Zaahir is scheduled for Wednesday 19 March 2026 at 2pm SGT - see Open Item 7.</w:t>
      </w:r>
    </w:p>
    <w:p w:rsidR="00000000" w:rsidDel="00000000" w:rsidP="00000000" w:rsidRDefault="00000000" w:rsidRPr="00000000" w14:paraId="0000013D">
      <w:pPr>
        <w:widowControl w:val="0"/>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Reference Sites:</w:t>
      </w: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What to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Themes ETFs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Primary structural reference. Closest to Boreas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VanEck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Country/investor segmentation, compliance, ETF detail page, data depth per product, "All Other Countries" global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iShares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ETF detail page layout, listing table, multi-brand nav.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Minimal, premium, product-first.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Modern calm UI, component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Airbnb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Card-based browsing, fund discovery 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Boreas existing collateral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Brand tone, visual identity, typography, colour palette. See Section 8.1.</w:t>
            </w:r>
          </w:p>
        </w:tc>
      </w:tr>
    </w:tbl>
    <w:p w:rsidR="00000000" w:rsidDel="00000000" w:rsidP="00000000" w:rsidRDefault="00000000" w:rsidRPr="00000000" w14:paraId="00000150">
      <w:pPr>
        <w:pStyle w:val="Heading3"/>
        <w:rPr/>
      </w:pPr>
      <w:bookmarkStart w:colFirst="0" w:colLast="0" w:name="_9n89z2jb9xzu" w:id="40"/>
      <w:bookmarkEnd w:id="40"/>
      <w:r w:rsidDel="00000000" w:rsidR="00000000" w:rsidRPr="00000000">
        <w:rPr>
          <w:rtl w:val="0"/>
        </w:rPr>
        <w:t xml:space="preserve">8.1 Existing Boreas ETF Collateral</w:t>
      </w:r>
    </w:p>
    <w:p w:rsidR="00000000" w:rsidDel="00000000" w:rsidP="00000000" w:rsidRDefault="00000000" w:rsidRPr="00000000" w14:paraId="00000151">
      <w:pPr>
        <w:rPr/>
      </w:pPr>
      <w:r w:rsidDel="00000000" w:rsidR="00000000" w:rsidRPr="00000000">
        <w:rPr>
          <w:rtl w:val="0"/>
        </w:rPr>
        <w:t xml:space="preserve">Provided by Brad (via Geir). These are the primary reference for existing brand language, visual treatment, and tone - reviewed before design work begins. Designer and Zaahir should align on what to carry forward vs evolve.</w:t>
      </w:r>
    </w:p>
    <w:p w:rsidR="00000000" w:rsidDel="00000000" w:rsidP="00000000" w:rsidRDefault="00000000" w:rsidRPr="00000000" w14:paraId="00000152">
      <w:pPr>
        <w:widowControl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Lunate ETFs - Luxury product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hyperlink r:id="rId11">
              <w:r w:rsidDel="00000000" w:rsidR="00000000" w:rsidRPr="00000000">
                <w:rPr>
                  <w:color w:val="1155cc"/>
                  <w:u w:val="single"/>
                  <w:rtl w:val="0"/>
                </w:rPr>
                <w:t xml:space="preserve">https://etfs.lunate.com/en/etf/luxury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AIPOWR 2-pager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hyperlink r:id="rId12">
              <w:r w:rsidDel="00000000" w:rsidR="00000000" w:rsidRPr="00000000">
                <w:rPr>
                  <w:color w:val="1155cc"/>
                  <w:u w:val="single"/>
                  <w:rtl w:val="0"/>
                </w:rPr>
                <w:t xml:space="preserve">https://etfs.lunate.com/media/nfdpv4us/aipowr_2_pager.pdf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Luxury 2-pager (IOP)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hyperlink r:id="rId13">
              <w:r w:rsidDel="00000000" w:rsidR="00000000" w:rsidRPr="00000000">
                <w:rPr>
                  <w:color w:val="1155cc"/>
                  <w:u w:val="single"/>
                  <w:rtl w:val="0"/>
                </w:rPr>
                <w:t xml:space="preserve">https://etfs.lunate.com/media/hndbewm2/luxury-2-pager-iop.pdf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Boreas ETF brochure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hyperlink r:id="rId14">
              <w:r w:rsidDel="00000000" w:rsidR="00000000" w:rsidRPr="00000000">
                <w:rPr>
                  <w:color w:val="1155cc"/>
                  <w:u w:val="single"/>
                  <w:rtl w:val="0"/>
                </w:rPr>
                <w:t xml:space="preserve">https://etfs.lunate.com/media/4yamcpgj/brochureboreas_etf.pdf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QUANTM 2-pager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hyperlink r:id="rId15">
              <w:r w:rsidDel="00000000" w:rsidR="00000000" w:rsidRPr="00000000">
                <w:rPr>
                  <w:color w:val="1155cc"/>
                  <w:u w:val="single"/>
                  <w:rtl w:val="0"/>
                </w:rPr>
                <w:t xml:space="preserve">https://etfs.lunate.com/media/qokhrdiz/quantm-2pager_en.pdf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LinkedIn - POWR listing on ADX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hyperlink r:id="rId16">
              <w:r w:rsidDel="00000000" w:rsidR="00000000" w:rsidRPr="00000000">
                <w:rPr>
                  <w:color w:val="1155cc"/>
                  <w:u w:val="single"/>
                  <w:rtl w:val="0"/>
                </w:rPr>
                <w:t xml:space="preserve">https://www.linkedin.com/posts/lunate-etfs_celebrating-the-listing-of-the-boreas-sp-activity-7422622058607689730-zn0J</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LinkedIn - POWR now trading on ADX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hyperlink r:id="rId17">
              <w:r w:rsidDel="00000000" w:rsidR="00000000" w:rsidRPr="00000000">
                <w:rPr>
                  <w:color w:val="1155cc"/>
                  <w:u w:val="single"/>
                  <w:rtl w:val="0"/>
                </w:rPr>
                <w:t xml:space="preserve">https://www.linkedin.com/posts/lunate-etfs_now-trading-on-abu-dhabi-securities-exchange-activity-7422283124639760385-Oybv</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LinkedIn - Lunate ETFs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hyperlink r:id="rId18">
              <w:r w:rsidDel="00000000" w:rsidR="00000000" w:rsidRPr="00000000">
                <w:rPr>
                  <w:color w:val="1155cc"/>
                  <w:u w:val="single"/>
                  <w:rtl w:val="0"/>
                </w:rPr>
                <w:t xml:space="preserve">https://www.linkedin.com/posts/lunate-etfs_lunate-activity-7421929182269468673-c5cy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LinkedIn - Lunate ETFs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hyperlink r:id="rId19">
              <w:r w:rsidDel="00000000" w:rsidR="00000000" w:rsidRPr="00000000">
                <w:rPr>
                  <w:color w:val="1155cc"/>
                  <w:u w:val="single"/>
                  <w:rtl w:val="0"/>
                </w:rPr>
                <w:t xml:space="preserve">https://www.linkedin.com/posts/lunate-etfs_lunate-activity-7418948343084666881-pbml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LinkedIn - Boreas POWR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hyperlink r:id="rId20">
              <w:r w:rsidDel="00000000" w:rsidR="00000000" w:rsidRPr="00000000">
                <w:rPr>
                  <w:color w:val="1155cc"/>
                  <w:u w:val="single"/>
                  <w:rtl w:val="0"/>
                </w:rPr>
                <w:t xml:space="preserve">https://www.linkedin.com/posts/lunate-etfs_the-boreas-sp-ai-data-power-infrastructure-activity-7398998980111536129-FqWX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LinkedIn - Luxury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hyperlink r:id="rId21">
              <w:r w:rsidDel="00000000" w:rsidR="00000000" w:rsidRPr="00000000">
                <w:rPr>
                  <w:color w:val="1155cc"/>
                  <w:u w:val="single"/>
                  <w:rtl w:val="0"/>
                </w:rPr>
                <w:t xml:space="preserve">https://www.linkedin.com/posts/lunate-etfs_introducing-boreas-sp-absolute-luxury-ucits-activity-7417560071431372801-UnlV</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LinkedIn - AIPOWR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hyperlink r:id="rId22">
              <w:r w:rsidDel="00000000" w:rsidR="00000000" w:rsidRPr="00000000">
                <w:rPr>
                  <w:color w:val="1155cc"/>
                  <w:u w:val="single"/>
                  <w:rtl w:val="0"/>
                </w:rPr>
                <w:t xml:space="preserve">https://www.linkedin.com/posts/lunate-etfs_introducing-aipowr-activity-7392553732288409600-GogT</w:t>
              </w:r>
            </w:hyperlink>
            <w:r w:rsidDel="00000000" w:rsidR="00000000" w:rsidRPr="00000000">
              <w:rPr>
                <w:rtl w:val="0"/>
              </w:rPr>
            </w:r>
          </w:p>
        </w:tc>
      </w:tr>
    </w:tbl>
    <w:p w:rsidR="00000000" w:rsidDel="00000000" w:rsidP="00000000" w:rsidRDefault="00000000" w:rsidRPr="00000000" w14:paraId="0000016D">
      <w:pPr>
        <w:widowControl w:val="0"/>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y1kojqp2b0ov" w:id="41"/>
      <w:bookmarkEnd w:id="41"/>
      <w:r w:rsidDel="00000000" w:rsidR="00000000" w:rsidRPr="00000000">
        <w:rPr>
          <w:rtl w:val="0"/>
        </w:rPr>
        <w:t xml:space="preserve">9. Scope Definition</w:t>
      </w:r>
    </w:p>
    <w:p w:rsidR="00000000" w:rsidDel="00000000" w:rsidP="00000000" w:rsidRDefault="00000000" w:rsidRPr="00000000" w14:paraId="00000170">
      <w:pPr>
        <w:pStyle w:val="Heading3"/>
        <w:rPr/>
      </w:pPr>
      <w:bookmarkStart w:colFirst="0" w:colLast="0" w:name="_q7ri9sbd01xh" w:id="42"/>
      <w:bookmarkEnd w:id="42"/>
      <w:r w:rsidDel="00000000" w:rsidR="00000000" w:rsidRPr="00000000">
        <w:rPr>
          <w:rtl w:val="0"/>
        </w:rPr>
        <w:t xml:space="preserve">V1 - In Scope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Homepage, Our ETFs (overview + detail), Insights (incl. Thematic Research category), FAQ, About Us, Contact Us, Privacy/Terms, Cookie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Data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AWS pipeline, Fundinfo ingestion (Dynamic, Static, Holdings, Documents feeds), daily NAV change + YTD return computation, performance pre-computation, historical NAV backfill, CloudFront CDN, AWS Secrets Manager for API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WordPress custom theme, ACF, classic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Country/investor segmentation, GDPR consent banner, consent-aware analytics, data deletion support, Cookie Policy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Analytics &amp;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GTM, GA4, basic schema markup, Search Console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SEO Foundations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Clean URLs, sitemap, robots.txt, canonicals, meta tags, hreflang prep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Responsive custom theme, mobile-optimised, Core Web Vitals, SSL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Data Downloads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CSV downloads on product detail pages: current holdings, performance/return data, NAV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CRM &amp; 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HubSpot Marketing Hub Starter setup, newsletter signup integration, contact form → HubSpot sync, branded email template (Double Wolf leads, Zaahir input/support)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Index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S&amp;P API + Solactive API ingestion, daily benchmark values, pipeline integration</w:t>
            </w:r>
          </w:p>
        </w:tc>
      </w:tr>
    </w:tbl>
    <w:p w:rsidR="00000000" w:rsidDel="00000000" w:rsidP="00000000" w:rsidRDefault="00000000" w:rsidRPr="00000000" w14:paraId="00000187">
      <w:pPr>
        <w:pStyle w:val="Heading3"/>
        <w:rPr/>
      </w:pPr>
      <w:bookmarkStart w:colFirst="0" w:colLast="0" w:name="_358643p98jg5" w:id="43"/>
      <w:bookmarkEnd w:id="43"/>
      <w:r w:rsidDel="00000000" w:rsidR="00000000" w:rsidRPr="00000000">
        <w:rPr>
          <w:rtl w:val="0"/>
        </w:rPr>
        <w:t xml:space="preserve">Separate Workstream (Quoted Independently)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Advanced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GTM events, CRM tracking, marketing pixels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Holdings 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Sector breakdown, country breakdown → requires GICS classification mapping or additional data source</w:t>
            </w:r>
          </w:p>
        </w:tc>
      </w:tr>
    </w:tbl>
    <w:p w:rsidR="00000000" w:rsidDel="00000000" w:rsidP="00000000" w:rsidRDefault="00000000" w:rsidRPr="00000000" w14:paraId="0000018E">
      <w:pPr>
        <w:pStyle w:val="Heading3"/>
        <w:rPr/>
      </w:pPr>
      <w:bookmarkStart w:colFirst="0" w:colLast="0" w:name="_hxov3i5vrd80" w:id="44"/>
      <w:bookmarkEnd w:id="44"/>
      <w:r w:rsidDel="00000000" w:rsidR="00000000" w:rsidRPr="00000000">
        <w:rPr>
          <w:rtl w:val="0"/>
        </w:rPr>
        <w:t xml:space="preserve">V2+ - Future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Internationalisation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Multi-language, translation management, multi-language KID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Asia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Singapore and Hong Kong pages, including potential login-gated access for institutional investors (BlackRock HK pattern). Geir to provide regulatory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Investor Type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Jurisdiction-specific investor type labels (e.g. accredited investor for Switzerland) and three-tier modal variants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BoreasETFs ↔ LunateETFs integrated toggle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Chatbot / conversational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CRM 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Lifecycle automation, lead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Lunate ETF Portal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WCAG 2.1 AA compliance audit and remediation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Database migration if complexity warrants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Content &amp;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Additional datapoints on detail pages, new content sections, calculator/tools (e.g. "Create your ETF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IP Geolocation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Auto-detect visitor country to pre-select dropdown in first-visit modal. Recommended approach: CloudFront geo headers (</w:t>
            </w:r>
            <w:r w:rsidDel="00000000" w:rsidR="00000000" w:rsidRPr="00000000">
              <w:rPr>
                <w:rFonts w:ascii="Roboto Mono" w:cs="Roboto Mono" w:eastAsia="Roboto Mono" w:hAnsi="Roboto Mono"/>
                <w:color w:val="188038"/>
                <w:rtl w:val="0"/>
              </w:rPr>
              <w:t xml:space="preserve">CloudFront-Viewer-Country</w:t>
            </w:r>
            <w:r w:rsidDel="00000000" w:rsidR="00000000" w:rsidRPr="00000000">
              <w:rPr>
                <w:rtl w:val="0"/>
              </w:rPr>
              <w:t xml:space="preserve">). No default country in V1 - modal always shown for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Site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Full site search across ETF tickers, fund names, blog articles, and page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Overview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Filter/sort ETFs on overview page by performance, thematic category, and other criteria.</w:t>
            </w:r>
          </w:p>
        </w:tc>
      </w:tr>
    </w:tbl>
    <w:p w:rsidR="00000000" w:rsidDel="00000000" w:rsidP="00000000" w:rsidRDefault="00000000" w:rsidRPr="00000000" w14:paraId="000001AB">
      <w:pPr>
        <w:widowControl w:val="0"/>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pPr>
      <w:bookmarkStart w:colFirst="0" w:colLast="0" w:name="_hq3f2iakil8h" w:id="45"/>
      <w:bookmarkEnd w:id="45"/>
      <w:r w:rsidDel="00000000" w:rsidR="00000000" w:rsidRPr="00000000">
        <w:rPr>
          <w:rtl w:val="0"/>
        </w:rPr>
        <w:t xml:space="preserve">10. Open Items &amp; Dependencies</w:t>
      </w:r>
    </w:p>
    <w:p w:rsidR="00000000" w:rsidDel="00000000" w:rsidP="00000000" w:rsidRDefault="00000000" w:rsidRPr="00000000" w14:paraId="000001AE">
      <w:pPr>
        <w:pStyle w:val="Heading3"/>
        <w:rPr/>
      </w:pPr>
      <w:bookmarkStart w:colFirst="0" w:colLast="0" w:name="_baulih3e783t" w:id="46"/>
      <w:bookmarkEnd w:id="46"/>
      <w:r w:rsidDel="00000000" w:rsidR="00000000" w:rsidRPr="00000000">
        <w:rPr>
          <w:rtl w:val="0"/>
        </w:rPr>
        <w:t xml:space="preserve">V1 - Open (must resolve before launch)</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Impact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Brand/design package from Zaahir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Zaahir / </w:t>
            </w:r>
            <w:hyperlink r:id="rId23">
              <w:r w:rsidDel="00000000" w:rsidR="00000000" w:rsidRPr="00000000">
                <w:rPr>
                  <w:color w:val="0000ee"/>
                  <w:u w:val="single"/>
                  <w:rtl w:val="0"/>
                </w:rPr>
                <w:t xml:space="preserve">geir.espeskog@gmail.com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b w:val="1"/>
                <w:bCs w:val="1"/>
                <w:rtl w:val="0"/>
              </w:rPr>
              <w:t xml:space="preserve">Blocking WS2 (Frontend) and branded email template.</w:t>
            </w:r>
            <w:r w:rsidDel="00000000" w:rsidR="00000000" w:rsidRPr="00000000">
              <w:rPr>
                <w:rtl w:val="0"/>
              </w:rPr>
              <w:t xml:space="preserve"> Required before any design work can begin. Package to include: messaging guidelines, colours, imagery, typography, overall brand boundaries. Expected by end of week of March 27 (now overdue). Zaahir to confirm updated delivery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S&amp;P API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pPr>
            <w:hyperlink r:id="rId24">
              <w:r w:rsidDel="00000000" w:rsidR="00000000" w:rsidRPr="00000000">
                <w:rPr>
                  <w:color w:val="0000ee"/>
                  <w:u w:val="single"/>
                  <w:rtl w:val="0"/>
                </w:rPr>
                <w:t xml:space="preserve">viktor.ostebo@gmail.com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b w:val="1"/>
                <w:bCs w:val="1"/>
                <w:rtl w:val="0"/>
              </w:rPr>
              <w:t xml:space="preserve">Blocking pipeline build for 2 funds.</w:t>
            </w:r>
            <w:r w:rsidDel="00000000" w:rsidR="00000000" w:rsidRPr="00000000">
              <w:rPr>
                <w:rtl w:val="0"/>
              </w:rPr>
              <w:t xml:space="preserve"> S&amp;P user guide received and constituent snapshot shared (case ref 00944747). Formal API access and credentials to be established via </w:t>
            </w:r>
            <w:hyperlink r:id="rId25">
              <w:r w:rsidDel="00000000" w:rsidR="00000000" w:rsidRPr="00000000">
                <w:rPr>
                  <w:color w:val="1155cc"/>
                  <w:u w:val="single"/>
                  <w:rtl w:val="0"/>
                </w:rPr>
                <w:t xml:space="preserve">index_services@spglobal.com</w:t>
              </w:r>
            </w:hyperlink>
            <w:r w:rsidDel="00000000" w:rsidR="00000000" w:rsidRPr="00000000">
              <w:rPr>
                <w:rtl w:val="0"/>
              </w:rPr>
              <w:t xml:space="preserve">. Required before ingest_index Lambda can be built for S&amp;P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Solactive API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hyperlink r:id="rId26">
              <w:r w:rsidDel="00000000" w:rsidR="00000000" w:rsidRPr="00000000">
                <w:rPr>
                  <w:color w:val="0000ee"/>
                  <w:u w:val="single"/>
                  <w:rtl w:val="0"/>
                </w:rPr>
                <w:t xml:space="preserve">viktor.ostebo@gmail.com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Blocking pipeline build for Quantum Computing fund.</w:t>
            </w:r>
            <w:r w:rsidDel="00000000" w:rsidR="00000000" w:rsidRPr="00000000">
              <w:rPr>
                <w:rtl w:val="0"/>
              </w:rPr>
              <w:t xml:space="preserve"> API manual received from Ruben Roque (Solactive AG). Formal API access to be confirmed with Ruben. Required before ingest_index Lambda can be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Fundinfo API access - confirm JSON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pPr>
            <w:hyperlink r:id="rId27">
              <w:r w:rsidDel="00000000" w:rsidR="00000000" w:rsidRPr="00000000">
                <w:rPr>
                  <w:color w:val="0000ee"/>
                  <w:u w:val="single"/>
                  <w:rtl w:val="0"/>
                </w:rPr>
                <w:t xml:space="preserve">viktor.ostebo@gmail.com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Current API delivers CSV and ZIP. Preference is JSON. Viktor to confirm with Fundinfo whether JSON output is available. Affects pipeline architecture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WordPress hosting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pPr>
            <w:hyperlink r:id="rId28">
              <w:r w:rsidDel="00000000" w:rsidR="00000000" w:rsidRPr="00000000">
                <w:rPr>
                  <w:color w:val="0000ee"/>
                  <w:u w:val="single"/>
                  <w:rtl w:val="0"/>
                </w:rPr>
                <w:t xml:space="preserve">Thomas Wolf</w:t>
              </w:r>
            </w:hyperlink>
            <w:r w:rsidDel="00000000" w:rsidR="00000000" w:rsidRPr="00000000">
              <w:rPr>
                <w:rtl w:val="0"/>
              </w:rPr>
              <w:t xml:space="preserve"> / </w:t>
            </w:r>
            <w:hyperlink r:id="rId29">
              <w:r w:rsidDel="00000000" w:rsidR="00000000" w:rsidRPr="00000000">
                <w:rPr>
                  <w:color w:val="0000ee"/>
                  <w:u w:val="single"/>
                  <w:rtl w:val="0"/>
                </w:rPr>
                <w:t xml:space="preserve">sohail@doublewolf.consulting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EU region confirmed, provider TBD. Needed before WS2 (Frontend) can begin in earnest.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Historical NAV data for backfill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pPr>
            <w:hyperlink r:id="rId30">
              <w:r w:rsidDel="00000000" w:rsidR="00000000" w:rsidRPr="00000000">
                <w:rPr>
                  <w:color w:val="0000ee"/>
                  <w:u w:val="single"/>
                  <w:rtl w:val="0"/>
                </w:rPr>
                <w:t xml:space="preserve">viktor.ostebo@gmail.com</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Will be provided as a manual Excel file. Request from Viktor/Christopher once daily NAV ingestion from Fundinfo is running. Required before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Backend architecture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pPr>
            <w:hyperlink r:id="rId31">
              <w:r w:rsidDel="00000000" w:rsidR="00000000" w:rsidRPr="00000000">
                <w:rPr>
                  <w:color w:val="0000ee"/>
                  <w:u w:val="single"/>
                  <w:rtl w:val="0"/>
                </w:rPr>
                <w:t xml:space="preserve">sohail@doublewolf.consulting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Pending item 27. Sohail to document backend architecture (pipeline, infrastructure, any database considerations for V2) in GitHub. See </w:t>
            </w:r>
            <w:r w:rsidDel="00000000" w:rsidR="00000000" w:rsidRPr="00000000">
              <w:rPr>
                <w:rFonts w:ascii="Roboto Mono" w:cs="Roboto Mono" w:eastAsia="Roboto Mono" w:hAnsi="Roboto Mono"/>
                <w:color w:val="188038"/>
                <w:rtl w:val="0"/>
              </w:rPr>
              <w:t xml:space="preserve">docs/architecture.md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docs/data-pipeline.md</w:t>
            </w:r>
            <w:r w:rsidDel="00000000" w:rsidR="00000000" w:rsidRPr="00000000">
              <w:rPr>
                <w:rtl w:val="0"/>
              </w:rPr>
              <w:t xml:space="preserve"> as starting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Fundinfo document types → confirm all types available in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hyperlink r:id="rId32">
              <w:r w:rsidDel="00000000" w:rsidR="00000000" w:rsidRPr="00000000">
                <w:rPr>
                  <w:color w:val="0000ee"/>
                  <w:u w:val="single"/>
                  <w:rtl w:val="0"/>
                </w:rPr>
                <w:t xml:space="preserve">viktor.ostebo@gmail.com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Expected document set per fund: Prospectus, Annual Report, Semi-Annual Report, PRIIPs KID and/or UCITS KID, Factsheet. Viktor to confirm with Fundinfo why PRIIPs KID, UCITS KID, and Supplement are not yet appearing. Marketing materials uploaded manually via ACF. </w:t>
            </w:r>
            <w:r w:rsidDel="00000000" w:rsidR="00000000" w:rsidRPr="00000000">
              <w:rPr>
                <w:b w:val="1"/>
                <w:bCs w:val="1"/>
                <w:rtl w:val="0"/>
              </w:rPr>
              <w:t xml:space="preserve">Language decision (v1.7):</w:t>
            </w:r>
            <w:r w:rsidDel="00000000" w:rsidR="00000000" w:rsidRPr="00000000">
              <w:rPr>
                <w:rtl w:val="0"/>
              </w:rPr>
              <w:t xml:space="preserve"> V1 serves English-language documents only. V2 introduces local-language document versions (e.g. French, German, Italian, Swedish, Polish) per country. Note: PRIIPs KIDs are country-specific due to regulatory requirements and may have multiple language versions per country (e.g. Switzerland requires French, Italian, German, and English). The site must be built with document language extensibility in mind so this can be layered in without structural rework.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Fundinfo country registration flags → when will passporting data populate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pPr>
            <w:hyperlink r:id="rId33">
              <w:r w:rsidDel="00000000" w:rsidR="00000000" w:rsidRPr="00000000">
                <w:rPr>
                  <w:color w:val="0000ee"/>
                  <w:u w:val="single"/>
                  <w:rtl w:val="0"/>
                </w:rPr>
                <w:t xml:space="preserve">viktor.ostebo@gmail.com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Partially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Static feed has ~180 country columns. Verified in latest CSV: all 3 European share classes show DE = YES and GB = YES; all ADX share classes show NO for both. Will populate further as passporting completes. Monitoring as passporting progresses.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First NAV date / share class launch date in listings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pPr>
            <w:hyperlink r:id="rId34">
              <w:r w:rsidDel="00000000" w:rsidR="00000000" w:rsidRPr="00000000">
                <w:rPr>
                  <w:color w:val="0000ee"/>
                  <w:u w:val="single"/>
                  <w:rtl w:val="0"/>
                </w:rPr>
                <w:t xml:space="preserve">viktor.ostebo@gmail.com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Geir has noted investor demand for the share class launch date (first NAV date, typically 2 days before first listing date). To be confirmed by checking competitor sites (iShares, VanEck) and available Fundinfo fields. See Section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Country domain redirects (boreasetf.de,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pPr>
            <w:hyperlink r:id="rId35">
              <w:r w:rsidDel="00000000" w:rsidR="00000000" w:rsidRPr="00000000">
                <w:rPr>
                  <w:color w:val="0000ee"/>
                  <w:u w:val="single"/>
                  <w:rtl w:val="0"/>
                </w:rPr>
                <w:t xml:space="preserve">Thomas Wolf</w:t>
              </w:r>
            </w:hyperlink>
            <w:r w:rsidDel="00000000" w:rsidR="00000000" w:rsidRPr="00000000">
              <w:rPr>
                <w:rtl w:val="0"/>
              </w:rPr>
              <w:t xml:space="preserve"> / </w:t>
            </w:r>
            <w:hyperlink r:id="rId36">
              <w:r w:rsidDel="00000000" w:rsidR="00000000" w:rsidRPr="00000000">
                <w:rPr>
                  <w:color w:val="0000ee"/>
                  <w:u w:val="single"/>
                  <w:rtl w:val="0"/>
                </w:rPr>
                <w:t xml:space="preserve">geir.espeskog@gmail.com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Boreas owns country-specific domains (e.g. boreasetf.de). Confirm which domains should redirect to BoreasETFs.com (primary) and whether country-specific domains add SEO or brand value. Decide before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Social media handles (LinkedIn, 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pPr>
            <w:hyperlink r:id="rId37">
              <w:r w:rsidDel="00000000" w:rsidR="00000000" w:rsidRPr="00000000">
                <w:rPr>
                  <w:color w:val="0000ee"/>
                  <w:u w:val="single"/>
                  <w:rtl w:val="0"/>
                </w:rPr>
                <w:t xml:space="preserve">geir.espeskog@gmail.com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Needed for footer links. Can be confirmed close to launch.</w:t>
            </w:r>
          </w:p>
        </w:tc>
      </w:tr>
    </w:tbl>
    <w:p w:rsidR="00000000" w:rsidDel="00000000" w:rsidP="00000000" w:rsidRDefault="00000000" w:rsidRPr="00000000" w14:paraId="000001F0">
      <w:pPr>
        <w:pStyle w:val="Heading3"/>
        <w:rPr/>
      </w:pPr>
      <w:bookmarkStart w:colFirst="0" w:colLast="0" w:name="_jxnw9hfu14wt" w:id="47"/>
      <w:bookmarkEnd w:id="47"/>
      <w:r w:rsidDel="00000000" w:rsidR="00000000" w:rsidRPr="00000000">
        <w:rPr>
          <w:rtl w:val="0"/>
        </w:rPr>
        <w:t xml:space="preserve">V2 - Future Scope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Impact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VettaFi integration (upcoming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hyperlink r:id="rId38">
              <w:r w:rsidDel="00000000" w:rsidR="00000000" w:rsidRPr="00000000">
                <w:rPr>
                  <w:color w:val="0000ee"/>
                  <w:u w:val="single"/>
                  <w:rtl w:val="0"/>
                </w:rPr>
                <w:t xml:space="preserve">viktor.ostebo@gmail.com</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Open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Time-sensitive - funds expected June/July 2026.</w:t>
            </w:r>
            <w:r w:rsidDel="00000000" w:rsidR="00000000" w:rsidRPr="00000000">
              <w:rPr>
                <w:rtl w:val="0"/>
              </w:rPr>
              <w:t xml:space="preserve"> VettaFi is the index provider for these funds. Integration must be scoped and built ahead of those launch dates. Pipeline is config-driven so adding VettaFi requires a new handler module and config update only - no changes to existing S&amp;P or Solactive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Singapore and Hong Kong - regulatory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pPr>
            <w:hyperlink r:id="rId39">
              <w:r w:rsidDel="00000000" w:rsidR="00000000" w:rsidRPr="00000000">
                <w:rPr>
                  <w:color w:val="0000ee"/>
                  <w:u w:val="single"/>
                  <w:rtl w:val="0"/>
                </w:rPr>
                <w:t xml:space="preserve">geir.espeskog@gmail.com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Required input before V2 can be scoped.</w:t>
            </w:r>
            <w:r w:rsidDel="00000000" w:rsidR="00000000" w:rsidRPr="00000000">
              <w:rPr>
                <w:rtl w:val="0"/>
              </w:rPr>
              <w:t xml:space="preserve"> Geir to provide detail on regulatory and compliance requirements for both markets, including whether a login-gated experience for institutional investors is required (BlackRock HK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Singapore and Hong Kong - market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pPr>
            <w:hyperlink r:id="rId40">
              <w:r w:rsidDel="00000000" w:rsidR="00000000" w:rsidRPr="00000000">
                <w:rPr>
                  <w:color w:val="0000ee"/>
                  <w:u w:val="single"/>
                  <w:rtl w:val="0"/>
                </w:rPr>
                <w:t xml:space="preserve">geir.espeskog@gmail.com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Follows from item 19. Moved to V2 due to compliance/regulatory considerations. "All Other Countries" global page resolves V1 Rest of World behaviour (Section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Sector/country breakdown data source for holdings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pPr>
            <w:hyperlink r:id="rId41">
              <w:r w:rsidDel="00000000" w:rsidR="00000000" w:rsidRPr="00000000">
                <w:rPr>
                  <w:color w:val="0000ee"/>
                  <w:u w:val="single"/>
                  <w:rtl w:val="0"/>
                </w:rPr>
                <w:t xml:space="preserve">viktor.ostebo@gmail.com</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Open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Needed for holdings enrichment. FPH feed has holding names/weights but not GICS sectors. Lunate API has </w:t>
            </w:r>
            <w:r w:rsidDel="00000000" w:rsidR="00000000" w:rsidRPr="00000000">
              <w:rPr>
                <w:rFonts w:ascii="Roboto Mono" w:cs="Roboto Mono" w:eastAsia="Roboto Mono" w:hAnsi="Roboto Mono"/>
                <w:color w:val="188038"/>
                <w:rtl w:val="0"/>
              </w:rPr>
              <w:t xml:space="preserve">etf_holdings_sectors</w:t>
            </w:r>
            <w:r w:rsidDel="00000000" w:rsidR="00000000" w:rsidRPr="00000000">
              <w:rPr>
                <w:rtl w:val="0"/>
              </w:rPr>
              <w:t xml:space="preserve"> endpoint - sector data may come as a byproduct if Lunate is used. Revisit in V2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Investor type modal - jurisdiction-specific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hyperlink r:id="rId42">
              <w:r w:rsidDel="00000000" w:rsidR="00000000" w:rsidRPr="00000000">
                <w:rPr>
                  <w:color w:val="0000ee"/>
                  <w:u w:val="single"/>
                  <w:rtl w:val="0"/>
                </w:rPr>
                <w:t xml:space="preserve">geir.espeskog@gmail.com</w:t>
              </w:r>
            </w:hyperlink>
            <w:r w:rsidDel="00000000" w:rsidR="00000000" w:rsidRPr="00000000">
              <w:rPr>
                <w:rtl w:val="0"/>
              </w:rPr>
              <w:t xml:space="preserve"> / </w:t>
            </w:r>
            <w:hyperlink r:id="rId43">
              <w:r w:rsidDel="00000000" w:rsidR="00000000" w:rsidRPr="00000000">
                <w:rPr>
                  <w:color w:val="0000ee"/>
                  <w:u w:val="single"/>
                  <w:rtl w:val="0"/>
                </w:rPr>
                <w:t xml:space="preserve">viktor.ostebo@gmail.com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Open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Some jurisdictions (e.g. Switzerland) may use different naming conventions or a three-tier classification (Individual Investor / Accredited Investor / Professional Investor). V1 uses a two-tier modal (Professional / Individual) for all countries. Adapting the modal for jurisdiction-specific variants is V2 scope. Geir to verify specific requirements for Switzerland and any other relevant V1 countries.</w:t>
            </w:r>
          </w:p>
        </w:tc>
      </w:tr>
    </w:tbl>
    <w:p w:rsidR="00000000" w:rsidDel="00000000" w:rsidP="00000000" w:rsidRDefault="00000000" w:rsidRPr="00000000" w14:paraId="0000020F">
      <w:pPr>
        <w:pStyle w:val="Heading3"/>
        <w:rPr/>
      </w:pPr>
      <w:bookmarkStart w:colFirst="0" w:colLast="0" w:name="_h5lkd3kt1lgn" w:id="48"/>
      <w:bookmarkEnd w:id="48"/>
      <w:r w:rsidDel="00000000" w:rsidR="00000000" w:rsidRPr="00000000">
        <w:rPr>
          <w:rtl w:val="0"/>
        </w:rPr>
        <w:t xml:space="preserve">Resolved</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strike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strike w:val="1"/>
                <w:rtl w:val="0"/>
              </w:rPr>
              <w:t xml:space="preserve">Index/benchmark data source, format, delivery 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strike w:val="1"/>
                <w:rtl w:val="0"/>
              </w:rPr>
              <w:t xml:space="preserve">Viktor / Geir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strike w:val="1"/>
                <w:rtl w:val="0"/>
              </w:rPr>
              <w:t xml:space="preserve">S&amp;P Dow Jones Indices confirmed for 2 funds (S&amp;P AI Data Power &amp; Infrastructure, S&amp;P Absolute Luxury). Solactive confirmed for 1 fund (Quantum Computing). API-based, JSON/CSV confirmed for both providers. Direct provider relationships established - no Lunate dependency. Full API documentation in </w:t>
            </w:r>
            <w:r w:rsidDel="00000000" w:rsidR="00000000" w:rsidRPr="00000000">
              <w:rPr>
                <w:rFonts w:ascii="Roboto Mono" w:cs="Roboto Mono" w:eastAsia="Roboto Mono" w:hAnsi="Roboto Mono"/>
                <w:strike w:val="1"/>
                <w:color w:val="188038"/>
                <w:rtl w:val="0"/>
              </w:rPr>
              <w:t xml:space="preserve">docs/data-pipeline.md</w:t>
            </w:r>
            <w:r w:rsidDel="00000000" w:rsidR="00000000" w:rsidRPr="00000000">
              <w:rPr>
                <w:strike w:val="1"/>
                <w:rtl w:val="0"/>
              </w:rPr>
              <w:t xml:space="preserve">. VettaFi (upcoming June/July funds) is V2 scope.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strike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strike w:val="1"/>
                <w:rtl w:val="0"/>
              </w:rPr>
              <w:t xml:space="preserve">Fundinfo file format (ZIP vs CSV/JSON)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strike w:val="1"/>
                <w:rtl w:val="0"/>
              </w:rPr>
              <w:t xml:space="preserve">Viktor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strike w:val="1"/>
                <w:rtl w:val="0"/>
              </w:rPr>
              <w:t xml:space="preserve">Fundinfo confirmed </w:t>
            </w:r>
            <w:r w:rsidDel="00000000" w:rsidR="00000000" w:rsidRPr="00000000">
              <w:rPr>
                <w:rFonts w:ascii="Roboto Mono" w:cs="Roboto Mono" w:eastAsia="Roboto Mono" w:hAnsi="Roboto Mono"/>
                <w:strike w:val="1"/>
                <w:color w:val="188038"/>
                <w:rtl w:val="0"/>
              </w:rPr>
              <w:t xml:space="preserve">&amp;uncompressed=true</w:t>
            </w:r>
            <w:r w:rsidDel="00000000" w:rsidR="00000000" w:rsidRPr="00000000">
              <w:rPr>
                <w:strike w:val="1"/>
                <w:rtl w:val="0"/>
              </w:rPr>
              <w:t xml:space="preserve"> parameter for direct CSV. ZIP retained for Documents feed only. Viktor to request updated API links for all feed types.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strike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strike w:val="1"/>
                <w:rtl w:val="0"/>
              </w:rPr>
              <w:t xml:space="preserve">CRM platform decision (HubSpot vs Vero - see Section 5.10)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strike w:val="1"/>
                <w:rtl w:val="0"/>
              </w:rPr>
              <w:t xml:space="preserve">Thomas / Viktor / Geir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strike w:val="1"/>
                <w:rtl w:val="0"/>
              </w:rPr>
              <w:t xml:space="preserve">HubSpot Starter confirmed. See Section 5.10.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strike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strike w:val="1"/>
                <w:rtl w:val="0"/>
              </w:rPr>
              <w:t xml:space="preserve">Field specification spreadsheet (V1 data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strike w:val="1"/>
                <w:rtl w:val="0"/>
              </w:rPr>
              <w:t xml:space="preserve">Viktor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strike w:val="1"/>
                <w:rtl w:val="0"/>
              </w:rPr>
              <w:t xml:space="preserve">Full field spec received and incorporated into tech spec. 40+ fields across 11 sections mapped to data sources. See GitHub: </w:t>
            </w:r>
            <w:r w:rsidDel="00000000" w:rsidR="00000000" w:rsidRPr="00000000">
              <w:rPr>
                <w:rFonts w:ascii="Roboto Mono" w:cs="Roboto Mono" w:eastAsia="Roboto Mono" w:hAnsi="Roboto Mono"/>
                <w:strike w:val="1"/>
                <w:color w:val="188038"/>
                <w:rtl w:val="0"/>
              </w:rPr>
              <w:t xml:space="preserve">technical-specs/docs/field-specifications.md</w:t>
            </w:r>
            <w:r w:rsidDel="00000000" w:rsidR="00000000" w:rsidRPr="00000000">
              <w:rPr>
                <w:strike w:val="1"/>
                <w:rtl w:val="0"/>
              </w:rPr>
              <w:t xml:space="preserve">. Needed for product detail page template.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strike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strike w:val="1"/>
                <w:rtl w:val="0"/>
              </w:rPr>
              <w:t xml:space="preserve">Country/investor modal: page vs overlay?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strike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strike w:val="1"/>
                <w:rtl w:val="0"/>
              </w:rPr>
              <w:t xml:space="preserve">Full-page modal confirmed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strike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strike w:val="1"/>
                <w:rtl w:val="0"/>
              </w:rPr>
              <w:t xml:space="preserve">Design call with Zaahir / design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strike w:val="1"/>
                <w:rtl w:val="0"/>
              </w:rPr>
              <w:t xml:space="preserve">Geir / Thomas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strike w:val="1"/>
                <w:rtl w:val="0"/>
              </w:rPr>
              <w:t xml:space="preserve">Call held 19 March 2026. External designer and Zaahir aligned on brand guardrails; designer produces mockup for further 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strike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strike w:val="1"/>
                <w:rtl w:val="0"/>
              </w:rPr>
              <w:t xml:space="preserve">ETF visibility rules per country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strike w:val="1"/>
                <w:rtl w:val="0"/>
              </w:rPr>
              <w:t xml:space="preserve">Viktor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strike w:val="1"/>
                <w:rtl w:val="0"/>
              </w:rPr>
              <w:t xml:space="preserve">All countries see European share classes. ADX share classes additionally visible to: UAE, Saudi Arabia, Kuwait, Qatar, Oman, Bahrain, Egypt, Jordan, Lebanon, Morocco, Tunisia, Algeria, Iraq, India, Pakistan. See Section 5.7.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strike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strike w:val="1"/>
                <w:rtl w:val="0"/>
              </w:rPr>
              <w:t xml:space="preserve">Default country / IP geolocation lookup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strike w:val="1"/>
                <w:rtl w:val="0"/>
              </w:rPr>
              <w:t xml:space="preserve">Thomas / Avery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strike w:val="1"/>
                <w:rtl w:val="0"/>
              </w:rPr>
              <w:t xml:space="preserve">No default country - modal always shown for compliance. Cookie persistence confirmed. IP geolocation for dropdown pre-selection is V2 enhancement. See Section 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strike w:val="1"/>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strike w:val="1"/>
                <w:rtl w:val="0"/>
              </w:rPr>
              <w:t xml:space="preserve">Share class switcher on product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strike w:val="1"/>
                <w:rtl w:val="0"/>
              </w:rPr>
              <w:t xml:space="preserve">Viktor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strike w:val="1"/>
                <w:rtl w:val="0"/>
              </w:rPr>
              <w:t xml:space="preserve">V1 confirmed. Countries qualifying for both share class types must have both surfaced. Implementation approach TBD: dropdown switcher (per iShares) or listing all applicable share classes directly in the listings table. See Section 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strike w:val="1"/>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strike w:val="1"/>
                <w:rtl w:val="0"/>
              </w:rPr>
              <w:t xml:space="preserve">Investor type: how does Professional vs Individual Investor affect page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strike w:val="1"/>
                <w:rtl w:val="0"/>
              </w:rPr>
              <w:t xml:space="preserve">Viktor / Geir / Chris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strike w:val="1"/>
                <w:rtl w:val="0"/>
              </w:rPr>
              <w:t xml:space="preserve">No difference in content for V1. Minor differentiation possible in V2.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strike w:val="1"/>
                <w:rtl w:val="0"/>
              </w:rPr>
              <w:t xml:space="preserv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strike w:val="1"/>
                <w:rtl w:val="0"/>
              </w:rPr>
              <w:t xml:space="preserve">Site 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strike w:val="1"/>
                <w:rtl w:val="0"/>
              </w:rPr>
              <w:t xml:space="preserve">Avery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strike w:val="1"/>
                <w:rtl w:val="0"/>
              </w:rPr>
              <w:t xml:space="preserve">Resolved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strike w:val="1"/>
                <w:rtl w:val="0"/>
              </w:rPr>
              <w:t xml:space="preserve">Removed from V1 scope. ETF listing page is the fund discovery entry point. Full site search deferred to V2.</w:t>
            </w:r>
            <w:r w:rsidDel="00000000" w:rsidR="00000000" w:rsidRPr="00000000">
              <w:rPr>
                <w:rtl w:val="0"/>
              </w:rPr>
            </w:r>
          </w:p>
        </w:tc>
      </w:tr>
    </w:tbl>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rPr/>
      </w:pPr>
      <w:bookmarkStart w:colFirst="0" w:colLast="0" w:name="_2smjj3wi48dh" w:id="49"/>
      <w:bookmarkEnd w:id="49"/>
      <w:r w:rsidDel="00000000" w:rsidR="00000000" w:rsidRPr="00000000">
        <w:rPr>
          <w:rtl w:val="0"/>
        </w:rPr>
        <w:t xml:space="preserve">11. Delivery Approach &amp; Workstreams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b w:val="1"/>
                <w:bCs w:val="1"/>
              </w:rPr>
            </w:pPr>
            <w:r w:rsidDel="00000000" w:rsidR="00000000" w:rsidRPr="00000000">
              <w:rPr>
                <w:b w:val="1"/>
                <w:bCs w:val="1"/>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WS1: Data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AWS infra, Fundinfo feed ingestion (Dynamic, Static, Holdings, Documents), daily NAV change + YTD computation, monthly performance computation, historical NAV backfill, Secrets Manager,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API access, index data source, historical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WS2: WordPress &amp; 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Theme, ACF, page templates, responsive, segmentation,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Design files, field specs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WS3: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Frontend ↔ S3, template merge logic, CloudFront,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WS1 + WS2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WS4: SEO &amp; Tagging (Core)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GTM, GA4, schema markup, technical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Parallel with WS2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b w:val="1"/>
                <w:bCs w:val="1"/>
                <w:rtl w:val="0"/>
              </w:rPr>
              <w:t xml:space="preserve">WS5: CRM &amp; Advanced Tagging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CRM integration, advanced GTM, marketing 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CRM decision. Post-launch or parallel.</w:t>
            </w:r>
          </w:p>
        </w:tc>
      </w:tr>
    </w:tbl>
    <w:p w:rsidR="00000000" w:rsidDel="00000000" w:rsidP="00000000" w:rsidRDefault="00000000" w:rsidRPr="00000000" w14:paraId="00000261">
      <w:pPr>
        <w:pStyle w:val="Heading3"/>
        <w:rPr/>
      </w:pPr>
      <w:bookmarkStart w:colFirst="0" w:colLast="0" w:name="_11r38kyyg7w1" w:id="50"/>
      <w:bookmarkEnd w:id="50"/>
      <w:r w:rsidDel="00000000" w:rsidR="00000000" w:rsidRPr="00000000">
        <w:rPr>
          <w:rtl w:val="0"/>
        </w:rPr>
        <w:t xml:space="preserve">Next Steps</w:t>
      </w:r>
    </w:p>
    <w:p w:rsidR="00000000" w:rsidDel="00000000" w:rsidP="00000000" w:rsidRDefault="00000000" w:rsidRPr="00000000" w14:paraId="00000262">
      <w:pPr>
        <w:numPr>
          <w:ilvl w:val="0"/>
          <w:numId w:val="1"/>
        </w:numPr>
        <w:ind w:left="720" w:hanging="360"/>
      </w:pPr>
      <w:r w:rsidDel="00000000" w:rsidR="00000000" w:rsidRPr="00000000">
        <w:rPr>
          <w:b w:val="1"/>
          <w:bCs w:val="1"/>
          <w:strike w:val="1"/>
          <w:rtl w:val="0"/>
        </w:rPr>
        <w:t xml:space="preserve">Engineering Review:</w:t>
      </w:r>
      <w:r w:rsidDel="00000000" w:rsidR="00000000" w:rsidRPr="00000000">
        <w:rPr>
          <w:strike w:val="1"/>
          <w:rtl w:val="0"/>
        </w:rPr>
        <w:t xml:space="preserve"> Avery reviews PRD + technical spec for feasibility.</w:t>
      </w:r>
      <w:r w:rsidDel="00000000" w:rsidR="00000000" w:rsidRPr="00000000">
        <w:rPr>
          <w:rFonts w:ascii="Arial Unicode MS" w:cs="Arial Unicode MS" w:eastAsia="Arial Unicode MS" w:hAnsi="Arial Unicode MS"/>
          <w:rtl w:val="0"/>
        </w:rPr>
        <w:t xml:space="preserve"> ✓ Done</w:t>
      </w:r>
    </w:p>
    <w:p w:rsidR="00000000" w:rsidDel="00000000" w:rsidP="00000000" w:rsidRDefault="00000000" w:rsidRPr="00000000" w14:paraId="00000263">
      <w:pPr>
        <w:numPr>
          <w:ilvl w:val="0"/>
          <w:numId w:val="1"/>
        </w:numPr>
        <w:ind w:left="720" w:hanging="360"/>
      </w:pPr>
      <w:r w:rsidDel="00000000" w:rsidR="00000000" w:rsidRPr="00000000">
        <w:rPr>
          <w:b w:val="1"/>
          <w:bCs w:val="1"/>
          <w:strike w:val="1"/>
          <w:rtl w:val="0"/>
        </w:rPr>
        <w:t xml:space="preserve">Design Kickoff:</w:t>
      </w:r>
      <w:r w:rsidDel="00000000" w:rsidR="00000000" w:rsidRPr="00000000">
        <w:rPr>
          <w:strike w:val="1"/>
          <w:rtl w:val="0"/>
        </w:rPr>
        <w:t xml:space="preserve"> Call with Zaahir held. Brand/design package still pending from Zaahir - see Open Item 23. Blocking for WS2.</w:t>
      </w:r>
      <w:r w:rsidDel="00000000" w:rsidR="00000000" w:rsidRPr="00000000">
        <w:rPr>
          <w:rFonts w:ascii="Arial Unicode MS" w:cs="Arial Unicode MS" w:eastAsia="Arial Unicode MS" w:hAnsi="Arial Unicode MS"/>
          <w:rtl w:val="0"/>
        </w:rPr>
        <w:t xml:space="preserve"> ✓ Done (package still pending - see Open Item 23)</w:t>
      </w:r>
    </w:p>
    <w:p w:rsidR="00000000" w:rsidDel="00000000" w:rsidP="00000000" w:rsidRDefault="00000000" w:rsidRPr="00000000" w14:paraId="00000264">
      <w:pPr>
        <w:numPr>
          <w:ilvl w:val="0"/>
          <w:numId w:val="1"/>
        </w:numPr>
        <w:ind w:left="720" w:hanging="360"/>
      </w:pPr>
      <w:r w:rsidDel="00000000" w:rsidR="00000000" w:rsidRPr="00000000">
        <w:rPr>
          <w:b w:val="1"/>
          <w:bCs w:val="1"/>
          <w:rtl w:val="0"/>
        </w:rPr>
        <w:t xml:space="preserve">Index API Access:</w:t>
      </w:r>
      <w:r w:rsidDel="00000000" w:rsidR="00000000" w:rsidRPr="00000000">
        <w:rPr>
          <w:rtl w:val="0"/>
        </w:rPr>
        <w:t xml:space="preserve"> Thomas/Sohail to formalise API credentials with S&amp;P (</w:t>
      </w:r>
      <w:hyperlink r:id="rId44">
        <w:r w:rsidDel="00000000" w:rsidR="00000000" w:rsidRPr="00000000">
          <w:rPr>
            <w:color w:val="1155cc"/>
            <w:u w:val="single"/>
            <w:rtl w:val="0"/>
          </w:rPr>
          <w:t xml:space="preserve">index_services@spglobal.com</w:t>
        </w:r>
      </w:hyperlink>
      <w:r w:rsidDel="00000000" w:rsidR="00000000" w:rsidRPr="00000000">
        <w:rPr>
          <w:rtl w:val="0"/>
        </w:rPr>
        <w:t xml:space="preserve">) and Solactive (Ruben Roque). In progress - see Open Items 24–25.</w:t>
      </w:r>
    </w:p>
    <w:p w:rsidR="00000000" w:rsidDel="00000000" w:rsidP="00000000" w:rsidRDefault="00000000" w:rsidRPr="00000000" w14:paraId="00000265">
      <w:pPr>
        <w:numPr>
          <w:ilvl w:val="0"/>
          <w:numId w:val="1"/>
        </w:numPr>
        <w:ind w:left="720" w:hanging="360"/>
      </w:pPr>
      <w:r w:rsidDel="00000000" w:rsidR="00000000" w:rsidRPr="00000000">
        <w:rPr>
          <w:b w:val="1"/>
          <w:bCs w:val="1"/>
          <w:rtl w:val="0"/>
        </w:rPr>
        <w:t xml:space="preserve">Resolve Remaining Open Items:</w:t>
      </w:r>
      <w:r w:rsidDel="00000000" w:rsidR="00000000" w:rsidRPr="00000000">
        <w:rPr>
          <w:rtl w:val="0"/>
        </w:rPr>
        <w:t xml:space="preserve"> Viktor/Geir provide answers on blocking dependencies. In progress - see Section 10.</w:t>
      </w:r>
    </w:p>
    <w:p w:rsidR="00000000" w:rsidDel="00000000" w:rsidP="00000000" w:rsidRDefault="00000000" w:rsidRPr="00000000" w14:paraId="00000266">
      <w:pPr>
        <w:numPr>
          <w:ilvl w:val="0"/>
          <w:numId w:val="1"/>
        </w:numPr>
        <w:ind w:left="720" w:hanging="360"/>
      </w:pPr>
      <w:r w:rsidDel="00000000" w:rsidR="00000000" w:rsidRPr="00000000">
        <w:rPr>
          <w:b w:val="1"/>
          <w:bCs w:val="1"/>
          <w:rtl w:val="0"/>
        </w:rPr>
        <w:t xml:space="preserve">Effort Estimation:</w:t>
      </w:r>
      <w:r w:rsidDel="00000000" w:rsidR="00000000" w:rsidRPr="00000000">
        <w:rPr>
          <w:rtl w:val="0"/>
        </w:rPr>
        <w:t xml:space="preserve"> Sohail + Thomas produce time/cost per workstream. In progress.</w:t>
      </w:r>
    </w:p>
    <w:p w:rsidR="00000000" w:rsidDel="00000000" w:rsidP="00000000" w:rsidRDefault="00000000" w:rsidRPr="00000000" w14:paraId="00000267">
      <w:pPr>
        <w:numPr>
          <w:ilvl w:val="0"/>
          <w:numId w:val="1"/>
        </w:numPr>
        <w:ind w:left="720" w:hanging="360"/>
      </w:pPr>
      <w:r w:rsidDel="00000000" w:rsidR="00000000" w:rsidRPr="00000000">
        <w:rPr>
          <w:b w:val="1"/>
          <w:bCs w:val="1"/>
          <w:rtl w:val="0"/>
        </w:rPr>
        <w:t xml:space="preserve">Proposal:</w:t>
      </w:r>
      <w:r w:rsidDel="00000000" w:rsidR="00000000" w:rsidRPr="00000000">
        <w:rPr>
          <w:rtl w:val="0"/>
        </w:rPr>
        <w:t xml:space="preserve"> Thomas compiles final proposal with scope, timeline, cost, team. In progress.</w:t>
      </w:r>
    </w:p>
    <w:p w:rsidR="00000000" w:rsidDel="00000000" w:rsidP="00000000" w:rsidRDefault="00000000" w:rsidRPr="00000000" w14:paraId="00000268">
      <w:pPr>
        <w:numPr>
          <w:ilvl w:val="0"/>
          <w:numId w:val="1"/>
        </w:numPr>
        <w:ind w:left="720" w:hanging="360"/>
      </w:pPr>
      <w:r w:rsidDel="00000000" w:rsidR="00000000" w:rsidRPr="00000000">
        <w:rPr>
          <w:b w:val="1"/>
          <w:bCs w:val="1"/>
          <w:rtl w:val="0"/>
        </w:rPr>
        <w:t xml:space="preserve">Backend Architecture Docs:</w:t>
      </w:r>
      <w:r w:rsidDel="00000000" w:rsidR="00000000" w:rsidRPr="00000000">
        <w:rPr>
          <w:rtl w:val="0"/>
        </w:rPr>
        <w:t xml:space="preserve"> Sohail to document backend architecture in GitHub. Blocked - pending Open Item 27 (Fundinfo JSON confirmation).</w:t>
      </w:r>
    </w:p>
    <w:p w:rsidR="00000000" w:rsidDel="00000000" w:rsidP="00000000" w:rsidRDefault="00000000" w:rsidRPr="00000000" w14:paraId="00000269">
      <w:pPr>
        <w:numPr>
          <w:ilvl w:val="0"/>
          <w:numId w:val="1"/>
        </w:numPr>
        <w:ind w:left="720" w:hanging="360"/>
      </w:pPr>
      <w:r w:rsidDel="00000000" w:rsidR="00000000" w:rsidRPr="00000000">
        <w:rPr>
          <w:b w:val="1"/>
          <w:bCs w:val="1"/>
          <w:rtl w:val="0"/>
        </w:rPr>
        <w:t xml:space="preserve">Field Spec Review:</w:t>
      </w:r>
      <w:r w:rsidDel="00000000" w:rsidR="00000000" w:rsidRPr="00000000">
        <w:rPr>
          <w:rtl w:val="0"/>
        </w:rPr>
        <w:t xml:space="preserve"> Viktor reviews field-specifications.md in GitHub to confirm all field mappings and flag any corrections. Open - lower priority, to be revisited once pipeline build begins.</w:t>
      </w:r>
    </w:p>
    <w:p w:rsidR="00000000" w:rsidDel="00000000" w:rsidP="00000000" w:rsidRDefault="00000000" w:rsidRPr="00000000" w14:paraId="0000026A">
      <w:pPr>
        <w:widowControl w:val="0"/>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widowControl w:val="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BoreasETFs.com PRD v1.8 - Double Wolf Consulting - April 6, 2026</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r>
    </w:p>
    <w:sectPr>
      <w:headerReference r:id="rId45" w:type="default"/>
      <w:headerReference r:id="rId46" w:type="first"/>
      <w:footerReference r:id="rId47" w:type="default"/>
      <w:footerReference r:id="rId48"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bottom w:color="dddddd" w:space="4" w:sz="4" w:val="single"/>
      </w:pBdr>
      <w:spacing w:after="200" w:line="240" w:lineRule="auto"/>
      <w:rPr>
        <w:b w:val="1"/>
        <w:bCs w:val="1"/>
        <w:color w:val="1a1a2e"/>
        <w:sz w:val="18"/>
        <w:szCs w:val="18"/>
      </w:rPr>
    </w:pPr>
    <w:r w:rsidDel="00000000" w:rsidR="00000000" w:rsidRPr="00000000">
      <w:rPr>
        <w:rtl w:val="0"/>
      </w:rPr>
    </w:r>
  </w:p>
  <w:p w:rsidR="00000000" w:rsidDel="00000000" w:rsidP="00000000" w:rsidRDefault="00000000" w:rsidRPr="00000000" w14:paraId="00000271">
    <w:pPr>
      <w:pBdr>
        <w:bottom w:color="dddddd" w:space="4" w:sz="4" w:val="single"/>
      </w:pBdr>
      <w:spacing w:after="200" w:line="240" w:lineRule="auto"/>
      <w:rPr/>
    </w:pPr>
    <w:r w:rsidDel="00000000" w:rsidR="00000000" w:rsidRPr="00000000">
      <w:rPr>
        <w:b w:val="1"/>
        <w:bCs w:val="1"/>
        <w:color w:val="1a1a2e"/>
        <w:sz w:val="18"/>
        <w:szCs w:val="18"/>
        <w:rtl w:val="0"/>
      </w:rPr>
      <w:t xml:space="preserve">Double Wolf Consulting</w:t>
    </w:r>
    <w:r w:rsidDel="00000000" w:rsidR="00000000" w:rsidRPr="00000000">
      <w:rPr>
        <w:color w:val="aaaaaa"/>
        <w:sz w:val="18"/>
        <w:szCs w:val="18"/>
        <w:rtl w:val="0"/>
      </w:rPr>
      <w:t xml:space="preserve">     Confidential</w:t>
      <w:tab/>
      <w:tab/>
      <w:tab/>
      <w:tab/>
      <w:tab/>
      <w:tab/>
      <w:tab/>
      <w:t xml:space="preserve">               </w:t>
    </w:r>
    <w:r w:rsidDel="00000000" w:rsidR="00000000" w:rsidRPr="00000000">
      <w:rPr>
        <w:color w:val="aaaaaa"/>
        <w:sz w:val="18"/>
        <w:szCs w:val="18"/>
      </w:rPr>
      <w:drawing>
        <wp:inline distB="114300" distT="114300" distL="114300" distR="114300">
          <wp:extent cx="366713" cy="36671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713" cy="3667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bottom w:color="dddddd" w:space="4" w:sz="4" w:val="single"/>
      </w:pBdr>
      <w:spacing w:after="200" w:line="240" w:lineRule="auto"/>
      <w:rPr>
        <w:b w:val="1"/>
        <w:bCs w:val="1"/>
        <w:color w:val="1a1a2e"/>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5524593</wp:posOffset>
          </wp:positionH>
          <wp:positionV relativeFrom="paragraph">
            <wp:posOffset>285750</wp:posOffset>
          </wp:positionV>
          <wp:extent cx="366713" cy="3667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713" cy="366713"/>
                  </a:xfrm>
                  <a:prstGeom prst="rect"/>
                  <a:ln/>
                </pic:spPr>
              </pic:pic>
            </a:graphicData>
          </a:graphic>
        </wp:anchor>
      </w:drawing>
    </w:r>
  </w:p>
  <w:p w:rsidR="00000000" w:rsidDel="00000000" w:rsidP="00000000" w:rsidRDefault="00000000" w:rsidRPr="00000000" w14:paraId="00000275">
    <w:pPr>
      <w:pBdr>
        <w:bottom w:color="dddddd" w:space="4" w:sz="4" w:val="single"/>
      </w:pBdr>
      <w:spacing w:after="200" w:line="240" w:lineRule="auto"/>
      <w:rPr>
        <w:b w:val="1"/>
        <w:bCs w:val="1"/>
        <w:color w:val="1a1a2e"/>
        <w:sz w:val="18"/>
        <w:szCs w:val="18"/>
      </w:rPr>
    </w:pPr>
    <w:r w:rsidDel="00000000" w:rsidR="00000000" w:rsidRPr="00000000">
      <w:rPr>
        <w:rtl w:val="0"/>
      </w:rPr>
    </w:r>
  </w:p>
  <w:p w:rsidR="00000000" w:rsidDel="00000000" w:rsidP="00000000" w:rsidRDefault="00000000" w:rsidRPr="00000000" w14:paraId="00000276">
    <w:pPr>
      <w:pBdr>
        <w:bottom w:color="dddddd" w:space="4" w:sz="4" w:val="single"/>
      </w:pBdr>
      <w:spacing w:after="200" w:line="240" w:lineRule="auto"/>
      <w:rPr/>
    </w:pPr>
    <w:r w:rsidDel="00000000" w:rsidR="00000000" w:rsidRPr="00000000">
      <w:rPr>
        <w:b w:val="1"/>
        <w:bCs w:val="1"/>
        <w:color w:val="1a1a2e"/>
        <w:sz w:val="18"/>
        <w:szCs w:val="18"/>
        <w:rtl w:val="0"/>
      </w:rPr>
      <w:t xml:space="preserve">Double Wolf Consulting</w:t>
    </w:r>
    <w:r w:rsidDel="00000000" w:rsidR="00000000" w:rsidRPr="00000000">
      <w:rPr>
        <w:color w:val="aaaaaa"/>
        <w:sz w:val="18"/>
        <w:szCs w:val="18"/>
        <w:rtl w:val="0"/>
      </w:rPr>
      <w:t xml:space="preserve">     Confidential</w:t>
      <w:tab/>
      <w:tab/>
      <w:tab/>
      <w:tab/>
      <w:tab/>
      <w:tab/>
      <w:tab/>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geir.espeskog@gmail.com" TargetMode="External"/><Relationship Id="rId20" Type="http://schemas.openxmlformats.org/officeDocument/2006/relationships/hyperlink" Target="https://www.linkedin.com/posts/lunate-etfs_the-boreas-sp-ai-data-power-infrastructure-activity-7398998980111536129-FqWX" TargetMode="External"/><Relationship Id="rId42" Type="http://schemas.openxmlformats.org/officeDocument/2006/relationships/hyperlink" Target="mailto:geir.espeskog@gmail.com" TargetMode="External"/><Relationship Id="rId41" Type="http://schemas.openxmlformats.org/officeDocument/2006/relationships/hyperlink" Target="mailto:viktor.ostebo@gmail.com" TargetMode="External"/><Relationship Id="rId22" Type="http://schemas.openxmlformats.org/officeDocument/2006/relationships/hyperlink" Target="https://www.linkedin.com/posts/lunate-etfs_introducing-aipowr-activity-7392553732288409600-GogT" TargetMode="External"/><Relationship Id="rId44" Type="http://schemas.openxmlformats.org/officeDocument/2006/relationships/hyperlink" Target="mailto:index_services@spglobal.com" TargetMode="External"/><Relationship Id="rId21" Type="http://schemas.openxmlformats.org/officeDocument/2006/relationships/hyperlink" Target="https://www.linkedin.com/posts/lunate-etfs_introducing-boreas-sp-absolute-luxury-ucits-activity-7417560071431372801-UnlV" TargetMode="External"/><Relationship Id="rId43" Type="http://schemas.openxmlformats.org/officeDocument/2006/relationships/hyperlink" Target="mailto:viktor.ostebo@gmail.com" TargetMode="External"/><Relationship Id="rId24" Type="http://schemas.openxmlformats.org/officeDocument/2006/relationships/hyperlink" Target="mailto:viktor.ostebo@gmail.com" TargetMode="External"/><Relationship Id="rId46" Type="http://schemas.openxmlformats.org/officeDocument/2006/relationships/header" Target="header2.xml"/><Relationship Id="rId23" Type="http://schemas.openxmlformats.org/officeDocument/2006/relationships/hyperlink" Target="mailto:geir.espeskog@gmail.com"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tf@boreasetfs.com" TargetMode="External"/><Relationship Id="rId26" Type="http://schemas.openxmlformats.org/officeDocument/2006/relationships/hyperlink" Target="mailto:viktor.ostebo@gmail.com" TargetMode="External"/><Relationship Id="rId48" Type="http://schemas.openxmlformats.org/officeDocument/2006/relationships/footer" Target="footer1.xml"/><Relationship Id="rId25" Type="http://schemas.openxmlformats.org/officeDocument/2006/relationships/hyperlink" Target="mailto:index_services@spglobal.com" TargetMode="External"/><Relationship Id="rId47" Type="http://schemas.openxmlformats.org/officeDocument/2006/relationships/footer" Target="footer2.xml"/><Relationship Id="rId28" Type="http://schemas.openxmlformats.org/officeDocument/2006/relationships/hyperlink" Target="mailto:thomas@doublewolf.consulting" TargetMode="External"/><Relationship Id="rId27" Type="http://schemas.openxmlformats.org/officeDocument/2006/relationships/hyperlink" Target="mailto:viktor.ostebo@gmail.com" TargetMode="External"/><Relationship Id="rId5" Type="http://schemas.openxmlformats.org/officeDocument/2006/relationships/styles" Target="styles.xml"/><Relationship Id="rId6" Type="http://schemas.openxmlformats.org/officeDocument/2006/relationships/hyperlink" Target="https://github.com/doublewolfconsulting/boreas-website" TargetMode="External"/><Relationship Id="rId29" Type="http://schemas.openxmlformats.org/officeDocument/2006/relationships/hyperlink" Target="mailto:sohail@doublewolf.consulting" TargetMode="External"/><Relationship Id="rId7" Type="http://schemas.openxmlformats.org/officeDocument/2006/relationships/hyperlink" Target="https://github.com/doublewolfconsulting/boreas-website" TargetMode="External"/><Relationship Id="rId8" Type="http://schemas.openxmlformats.org/officeDocument/2006/relationships/hyperlink" Target="https://etfs.lunate.com/" TargetMode="External"/><Relationship Id="rId31" Type="http://schemas.openxmlformats.org/officeDocument/2006/relationships/hyperlink" Target="mailto:sohail@doublewolf.consulting" TargetMode="External"/><Relationship Id="rId30" Type="http://schemas.openxmlformats.org/officeDocument/2006/relationships/hyperlink" Target="mailto:viktor.ostebo@gmail.com" TargetMode="External"/><Relationship Id="rId11" Type="http://schemas.openxmlformats.org/officeDocument/2006/relationships/hyperlink" Target="https://etfs.lunate.com/en/etf/luxury" TargetMode="External"/><Relationship Id="rId33" Type="http://schemas.openxmlformats.org/officeDocument/2006/relationships/hyperlink" Target="mailto:viktor.ostebo@gmail.com" TargetMode="External"/><Relationship Id="rId10" Type="http://schemas.openxmlformats.org/officeDocument/2006/relationships/hyperlink" Target="https://www.hubspot.com/pricing/marketing" TargetMode="External"/><Relationship Id="rId32" Type="http://schemas.openxmlformats.org/officeDocument/2006/relationships/hyperlink" Target="mailto:viktor.ostebo@gmail.com" TargetMode="External"/><Relationship Id="rId13" Type="http://schemas.openxmlformats.org/officeDocument/2006/relationships/hyperlink" Target="https://etfs.lunate.com/media/hndbewm2/luxury-2-pager-iop.pdf" TargetMode="External"/><Relationship Id="rId35" Type="http://schemas.openxmlformats.org/officeDocument/2006/relationships/hyperlink" Target="mailto:thomas@doublewolf.consulting" TargetMode="External"/><Relationship Id="rId12" Type="http://schemas.openxmlformats.org/officeDocument/2006/relationships/hyperlink" Target="https://etfs.lunate.com/media/nfdpv4us/aipowr_2_pager.pdf" TargetMode="External"/><Relationship Id="rId34" Type="http://schemas.openxmlformats.org/officeDocument/2006/relationships/hyperlink" Target="mailto:viktor.ostebo@gmail.com" TargetMode="External"/><Relationship Id="rId15" Type="http://schemas.openxmlformats.org/officeDocument/2006/relationships/hyperlink" Target="https://etfs.lunate.com/media/qokhrdiz/quantm-2pager_en.pdf" TargetMode="External"/><Relationship Id="rId37" Type="http://schemas.openxmlformats.org/officeDocument/2006/relationships/hyperlink" Target="mailto:geir.espeskog@gmail.com" TargetMode="External"/><Relationship Id="rId14" Type="http://schemas.openxmlformats.org/officeDocument/2006/relationships/hyperlink" Target="https://etfs.lunate.com/media/4yamcpgj/brochureboreas_etf.pdf" TargetMode="External"/><Relationship Id="rId36" Type="http://schemas.openxmlformats.org/officeDocument/2006/relationships/hyperlink" Target="mailto:geir.espeskog@gmail.com" TargetMode="External"/><Relationship Id="rId17" Type="http://schemas.openxmlformats.org/officeDocument/2006/relationships/hyperlink" Target="https://www.linkedin.com/posts/lunate-etfs_now-trading-on-abu-dhabi-securities-exchange-activity-7422283124639760385-Oybv" TargetMode="External"/><Relationship Id="rId39" Type="http://schemas.openxmlformats.org/officeDocument/2006/relationships/hyperlink" Target="mailto:geir.espeskog@gmail.com" TargetMode="External"/><Relationship Id="rId16" Type="http://schemas.openxmlformats.org/officeDocument/2006/relationships/hyperlink" Target="https://www.linkedin.com/posts/lunate-etfs_celebrating-the-listing-of-the-boreas-sp-activity-7422622058607689730-zn0J" TargetMode="External"/><Relationship Id="rId38" Type="http://schemas.openxmlformats.org/officeDocument/2006/relationships/hyperlink" Target="mailto:viktor.ostebo@gmail.com" TargetMode="External"/><Relationship Id="rId19" Type="http://schemas.openxmlformats.org/officeDocument/2006/relationships/hyperlink" Target="https://www.linkedin.com/posts/lunate-etfs_lunate-activity-7418948343084666881-pbml" TargetMode="External"/><Relationship Id="rId18" Type="http://schemas.openxmlformats.org/officeDocument/2006/relationships/hyperlink" Target="https://www.linkedin.com/posts/lunate-etfs_lunate-activity-7421929182269468673-c5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