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Keystone Family Housing Partners: El Pomar Foundation Grant Application</w:t>
      </w:r>
    </w:p>
    <w:p>
      <w:r>
        <w:rPr>
          <w:i w:val="0"/>
          <w:color w:val="6F6A63"/>
          <w:sz w:val="22"/>
        </w:rPr>
        <w:t>Keystone Family Housing Partners · El Pomar Foundation · El Pomar Foundation competitive grant; deadline and request amount not provided.</w:t>
      </w:r>
    </w:p>
    <w:p>
      <w:r>
        <w:rPr>
          <w:i/>
          <w:color w:val="6F6A63"/>
          <w:sz w:val="18"/>
        </w:rPr>
        <w:t xml:space="preserve">Draft prepared October 22, 2026 with Through Line. Our numbers are filled in from our latest data. Highlighted </w:t>
      </w:r>
      <w:r>
        <w:rPr>
          <w:b/>
          <w:i/>
          <w:color w:val="6F6A63"/>
          <w:sz w:val="18"/>
          <w:highlight w:val="yellow"/>
        </w:rPr>
        <w:t>[ADD: …]</w:t>
      </w:r>
      <w:r>
        <w:rPr>
          <w:i/>
          <w:color w:val="6F6A63"/>
          <w:sz w:val="18"/>
        </w:rPr>
        <w:t xml:space="preserve"> notes mark information to add before submitting.</w:t>
      </w:r>
    </w:p>
    <w:p>
      <w:pPr>
        <w:pStyle w:val="Heading1"/>
      </w:pPr>
      <w:r>
        <w:t>Why we're a strong fit</w:t>
      </w:r>
    </w:p>
    <w:p>
      <w:r>
        <w:rPr>
          <w:i w:val="0"/>
          <w:sz w:val="22"/>
        </w:rPr>
        <w:t>Keystone’s rapid rehousing and voluntary case-management work addresses homelessness and housing stability, a human-services issue with potential for a positive and significant difference in families’ lives. Its latest results show progress in permanent-housing placements and in matched participants’ reported confidence, knowledge of where to seek help, and stress measure. The program also has practical delivery infrastructure, including landlord relationships, donated furniture, and volunteer support, though the application data do not establish the extent of broader community or financial support. The reported service-area data should be reviewed, so the service location and Colorado eligibility must be confirmed before applying.</w:t>
      </w:r>
    </w:p>
    <w:p>
      <w:pPr>
        <w:pStyle w:val="Heading2"/>
      </w:pPr>
      <w:r>
        <w:t>Organization background</w:t>
      </w:r>
    </w:p>
    <w:p>
      <w:r>
        <w:rPr>
          <w:i/>
          <w:color w:val="6F6A63"/>
          <w:sz w:val="18"/>
        </w:rPr>
        <w:t>This draft: 145 words</w:t>
      </w:r>
    </w:p>
    <w:p>
      <w:r>
        <w:rPr>
          <w:i w:val="0"/>
          <w:sz w:val="22"/>
        </w:rPr>
        <w:t>Keystone Family Housing Partners works to help families move from homelessness into permanent housing and address barriers that can threaten housing stability. Through Keystone Family Housing: Rapid Rehousing, Stay Housed, and Fresh Start Furniture, we combine housing search and move-in assistance, time-limited rental support, voluntary individualized case management, and donated furniture. Case managers work with families on priorities such as budgeting, landlord issues, benefits, child care, and school enrollment. Our approach is grounded in the understanding that families’ housing stability also depends on circumstances beyond our control.</w:t>
      </w:r>
    </w:p>
    <w:p>
      <w:r>
        <w:rPr>
          <w:i w:val="0"/>
          <w:sz w:val="22"/>
        </w:rPr>
        <w:t xml:space="preserve">Our program draws on a housing locator, case-management and finance capacity, volunteers, donated furniture, and referrals through a regional homeless response system. Recent program records show 198 active landlord partners during the reporting period, and volunteers furnished 33 apartments. </w:t>
      </w:r>
      <w:r>
        <w:rPr>
          <w:b/>
          <w:i w:val="0"/>
          <w:sz w:val="22"/>
          <w:highlight w:val="yellow"/>
        </w:rPr>
        <w:t>[ADD: organization history and mission; active 501(c)(3) status or eligible fiscal agent; Colorado service area; leadership and board information.]</w:t>
      </w:r>
    </w:p>
    <w:p>
      <w:pPr>
        <w:pStyle w:val="Heading2"/>
      </w:pPr>
      <w:r>
        <w:t>Need</w:t>
      </w:r>
    </w:p>
    <w:p>
      <w:r>
        <w:rPr>
          <w:i/>
          <w:color w:val="6F6A63"/>
          <w:sz w:val="18"/>
        </w:rPr>
        <w:t>This draft: 166 words</w:t>
      </w:r>
    </w:p>
    <w:p>
      <w:r>
        <w:rPr>
          <w:i w:val="0"/>
          <w:sz w:val="22"/>
        </w:rPr>
        <w:t>Families experiencing homelessness need a path into permanent housing as well as practical support to address the challenges that can put a tenancy at risk. A move alone may not resolve landlord concerns, financial pressures, or families’ other priority needs. Keystone responds by helping families locate housing, cover move-in costs and rent for a limited period, and access voluntary case management tailored to their circumstances.</w:t>
      </w:r>
    </w:p>
    <w:p>
      <w:r>
        <w:rPr>
          <w:i w:val="0"/>
          <w:sz w:val="22"/>
        </w:rPr>
        <w:t xml:space="preserve">Our program records track movement into permanent housing for a comparable cohort: 45 of 57 families moved into permanent housing during the observation period. Among families with a known housing status at follow-up, 25 were in permanent housing; we report known status separately because not every family’s housing status is necessarily known. Families’ own feedback also points to the value of support with housing and family stability. One participant shared, “When the landlord tried to raise the rent, my case manager helped me talk to him.” </w:t>
      </w:r>
      <w:r>
        <w:rPr>
          <w:b/>
          <w:i w:val="0"/>
          <w:sz w:val="22"/>
          <w:highlight w:val="yellow"/>
        </w:rPr>
        <w:t>[ADD: local data or other documentation of the community need and the geographic area served.]</w:t>
      </w:r>
    </w:p>
    <w:p>
      <w:pPr>
        <w:pStyle w:val="Heading2"/>
      </w:pPr>
      <w:r>
        <w:t>Program description</w:t>
      </w:r>
    </w:p>
    <w:p>
      <w:r>
        <w:rPr>
          <w:i/>
          <w:color w:val="6F6A63"/>
          <w:sz w:val="18"/>
        </w:rPr>
        <w:t>This draft: 180 words</w:t>
      </w:r>
    </w:p>
    <w:p>
      <w:r>
        <w:rPr>
          <w:i w:val="0"/>
          <w:sz w:val="22"/>
        </w:rPr>
        <w:t>Keystone Family Housing combines rapid rehousing with voluntary, individualized support to help families move into housing and work toward stability. We identify apartments with families, help with security deposits and initial rent, and step down rental assistance over a limited period. Fresh Start Furniture provides move-in essentials before families settle into their apartments. Through Stay Housed, case managers make home visits at a frequency shaped with each family, with more frequent contact early when appropriate. Families choose the issues they want to address, which may include budgeting, landlord communication, benefits, child care, or school enrollment.</w:t>
      </w:r>
    </w:p>
    <w:p>
      <w:r>
        <w:rPr>
          <w:i w:val="0"/>
          <w:sz w:val="22"/>
        </w:rPr>
        <w:t xml:space="preserve">This approach is intended to help families settle into housing and build their ability to respond to challenges; it does not assume that Keystone alone determines whether a family remains housed. The program is supported by landlord relationships, volunteers, donated furnishings, and referrals through a regional homeless response system. During the reporting period, Keystone paid $209,900 in rental assistance to landlords and furnished 33 apartments. </w:t>
      </w:r>
      <w:r>
        <w:rPr>
          <w:b/>
          <w:i w:val="0"/>
          <w:sz w:val="22"/>
          <w:highlight w:val="yellow"/>
        </w:rPr>
        <w:t>[ADD: proposed grant period, specific activities and service targets for the requested grant, and the Colorado community or communities served.]</w:t>
      </w:r>
    </w:p>
    <w:p>
      <w:pPr>
        <w:pStyle w:val="Heading2"/>
      </w:pPr>
      <w:r>
        <w:t>Outcomes and evaluation</w:t>
      </w:r>
    </w:p>
    <w:p>
      <w:r>
        <w:rPr>
          <w:i/>
          <w:color w:val="6F6A63"/>
          <w:sz w:val="18"/>
        </w:rPr>
        <w:t>This draft: 171 words</w:t>
      </w:r>
    </w:p>
    <w:p>
      <w:r>
        <w:rPr>
          <w:i w:val="0"/>
          <w:sz w:val="22"/>
        </w:rPr>
        <w:t>We measure both housing progress and families’ reported experience. Program records track move-ins and time from enrollment to move-in using a consistent cohort and observation window; we separately identify families who have not yet had the full observation period. In the latest reporting period, 9 of 11 families in the comparable cohort moved into permanent housing. We also follow up on housing status after move-in and report how many families were due for follow-up, contacted, and had a known status, rather than treating unknown status as a result.</w:t>
      </w:r>
    </w:p>
    <w:p>
      <w:r>
        <w:rPr>
          <w:i w:val="0"/>
          <w:sz w:val="22"/>
        </w:rPr>
        <w:t xml:space="preserve">We use the same participant check-in items at entry and a later point. Among 20 participants who answered both surveys, 85% improved on confidence addressing a rent or landlord issue, 60% improved on knowing where to seek help for a chosen need, and 70% improved on the parent-reported stress measure. These are reported changes, not proof that the program alone caused them. We will use program records and survey results to review progress and adjust delivery. </w:t>
      </w:r>
      <w:r>
        <w:rPr>
          <w:b/>
          <w:i w:val="0"/>
          <w:sz w:val="22"/>
          <w:highlight w:val="yellow"/>
        </w:rPr>
        <w:t>[ADD: proposed grant-specific targets and reporting schedule.]</w:t>
      </w:r>
    </w:p>
    <w:p>
      <w:pPr>
        <w:pStyle w:val="Heading2"/>
      </w:pPr>
      <w:r>
        <w:t>Use of funds</w:t>
      </w:r>
    </w:p>
    <w:p>
      <w:r>
        <w:rPr>
          <w:i/>
          <w:color w:val="6F6A63"/>
          <w:sz w:val="18"/>
        </w:rPr>
        <w:t>This draft: 146 words</w:t>
      </w:r>
    </w:p>
    <w:p>
      <w:r>
        <w:rPr>
          <w:i w:val="0"/>
          <w:sz w:val="22"/>
        </w:rPr>
        <w:t xml:space="preserve">We are seeking support for </w:t>
      </w:r>
      <w:r>
        <w:rPr>
          <w:b/>
          <w:i w:val="0"/>
          <w:sz w:val="22"/>
          <w:highlight w:val="yellow"/>
        </w:rPr>
        <w:t>[ADD: specific purpose of the request]</w:t>
      </w:r>
      <w:r>
        <w:rPr>
          <w:i w:val="0"/>
          <w:sz w:val="22"/>
        </w:rPr>
        <w:t xml:space="preserve">. Grant funds would support </w:t>
      </w:r>
      <w:r>
        <w:rPr>
          <w:b/>
          <w:i w:val="0"/>
          <w:sz w:val="22"/>
          <w:highlight w:val="yellow"/>
        </w:rPr>
        <w:t>[ADD: eligible program costs and the amount assigned to each cost]</w:t>
      </w:r>
      <w:r>
        <w:rPr>
          <w:i w:val="0"/>
          <w:sz w:val="22"/>
        </w:rPr>
        <w:t>, helping Keystone provide housing search and move-in assistance, rental support, voluntary case management, and move-in furnishings to families experiencing homelessness. We will connect the request to clear program activities and track spending against the submitted budget.</w:t>
      </w:r>
    </w:p>
    <w:p>
      <w:r>
        <w:rPr>
          <w:i w:val="0"/>
          <w:sz w:val="22"/>
        </w:rPr>
        <w:t xml:space="preserve">For a program request, we will provide a detailed project revenue and expense budget and identify other support as committed, pledged, or pending. This will help show how the request fits our overall plan and how the work can be sustained. </w:t>
      </w:r>
      <w:r>
        <w:rPr>
          <w:b/>
          <w:i w:val="0"/>
          <w:sz w:val="22"/>
          <w:highlight w:val="yellow"/>
        </w:rPr>
        <w:t>[ADD: total project budget; amount requested; grant-period dates; committed, pledged, and pending funding; other sources of support; and explanation of how remaining costs will be covered.]</w:t>
      </w:r>
      <w:r>
        <w:rPr>
          <w:i w:val="0"/>
          <w:sz w:val="22"/>
        </w:rPr>
        <w:t xml:space="preserve"> We will report progress toward the grant objectives and account for spending as required by the Foundation.</w:t>
      </w:r>
    </w:p>
    <w:p>
      <w:pPr>
        <w:pStyle w:val="Heading1"/>
      </w:pPr>
      <w:r>
        <w:t>Before you submit</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Status</w:t>
            </w:r>
          </w:p>
        </w:tc>
        <w:tc>
          <w:tcPr>
            <w:tcW w:type="dxa" w:w="2880"/>
          </w:tcPr>
          <w:p>
            <w:r>
              <w:t>What to do</w:t>
            </w:r>
          </w:p>
        </w:tc>
      </w:tr>
      <w:tr>
        <w:tc>
          <w:tcPr>
            <w:tcW w:type="dxa" w:w="2880"/>
          </w:tcPr>
          <w:p>
            <w:r>
              <w:t>Detailed project revenue and expense budget</w:t>
            </w:r>
          </w:p>
        </w:tc>
        <w:tc>
          <w:tcPr>
            <w:tcW w:type="dxa" w:w="2880"/>
          </w:tcPr>
          <w:p>
            <w:r>
              <w:t>Needs input</w:t>
            </w:r>
          </w:p>
        </w:tc>
        <w:tc>
          <w:tcPr>
            <w:tcW w:type="dxa" w:w="2880"/>
          </w:tcPr>
          <w:p>
            <w:r>
              <w:t>Provide the project budget and show how the requested grant would be used.</w:t>
            </w:r>
          </w:p>
        </w:tc>
      </w:tr>
      <w:tr>
        <w:tc>
          <w:tcPr>
            <w:tcW w:type="dxa" w:w="2880"/>
          </w:tcPr>
          <w:p>
            <w:r>
              <w:t>Documentation of committed, pledged, and pending support</w:t>
            </w:r>
          </w:p>
        </w:tc>
        <w:tc>
          <w:tcPr>
            <w:tcW w:type="dxa" w:w="2880"/>
          </w:tcPr>
          <w:p>
            <w:r>
              <w:t>Needs input</w:t>
            </w:r>
          </w:p>
        </w:tc>
        <w:tc>
          <w:tcPr>
            <w:tcW w:type="dxa" w:w="2880"/>
          </w:tcPr>
          <w:p>
            <w:r>
              <w:t>List other project support by status and provide supporting documentation as available.</w:t>
            </w:r>
          </w:p>
        </w:tc>
      </w:tr>
      <w:tr>
        <w:tc>
          <w:tcPr>
            <w:tcW w:type="dxa" w:w="2880"/>
          </w:tcPr>
          <w:p>
            <w:r>
              <w:t>Logic model</w:t>
            </w:r>
          </w:p>
        </w:tc>
        <w:tc>
          <w:tcPr>
            <w:tcW w:type="dxa" w:w="2880"/>
          </w:tcPr>
          <w:p>
            <w:r>
              <w:t>Ready</w:t>
            </w:r>
          </w:p>
        </w:tc>
        <w:tc>
          <w:tcPr>
            <w:tcW w:type="dxa" w:w="2880"/>
          </w:tcPr>
          <w:p>
            <w:r>
              <w:t>The program logic model is included in the application data.</w:t>
            </w:r>
          </w:p>
        </w:tc>
      </w:tr>
      <w:tr>
        <w:tc>
          <w:tcPr>
            <w:tcW w:type="dxa" w:w="2880"/>
          </w:tcPr>
          <w:p>
            <w:r>
              <w:t>Measurement plan and criteria for measuring success</w:t>
            </w:r>
          </w:p>
        </w:tc>
        <w:tc>
          <w:tcPr>
            <w:tcW w:type="dxa" w:w="2880"/>
          </w:tcPr>
          <w:p>
            <w:r>
              <w:t>Ready</w:t>
            </w:r>
          </w:p>
        </w:tc>
        <w:tc>
          <w:tcPr>
            <w:tcW w:type="dxa" w:w="2880"/>
          </w:tcPr>
          <w:p>
            <w:r>
              <w:t>The application data includes outcomes, measures, methods, and timing.</w:t>
            </w:r>
          </w:p>
        </w:tc>
      </w:tr>
    </w:tbl>
    <w:p>
      <w:r>
        <w:rPr>
          <w:b/>
          <w:i w:val="0"/>
          <w:sz w:val="22"/>
          <w:highlight w:val="yellow"/>
        </w:rPr>
        <w:t>[ADD: Confirm that Keystone is eligible to apply, including active 501(c)(3) status or an eligible fiscal agent and fiscal responsibility for the project.]</w:t>
      </w:r>
    </w:p>
    <w:p>
      <w:r>
        <w:rPr>
          <w:b/>
          <w:i w:val="0"/>
          <w:sz w:val="22"/>
          <w:highlight w:val="yellow"/>
        </w:rPr>
        <w:t>[ADD: Confirm the Colorado location and communities served. The reported service-area data; clarify whether the proposed work takes place in Colorado and whether this is the appropriate El Pomar grant route.]</w:t>
      </w:r>
    </w:p>
    <w:p>
      <w:r>
        <w:rPr>
          <w:b/>
          <w:i w:val="0"/>
          <w:sz w:val="22"/>
          <w:highlight w:val="yellow"/>
        </w:rPr>
        <w:t>[ADD: Organization history, mission, leadership, board information, and service-area description.]</w:t>
      </w:r>
    </w:p>
    <w:p>
      <w:r>
        <w:rPr>
          <w:b/>
          <w:i w:val="0"/>
          <w:sz w:val="22"/>
          <w:highlight w:val="yellow"/>
        </w:rPr>
        <w:t>[ADD: Local data or other documentation supporting the stated community need.]</w:t>
      </w:r>
    </w:p>
    <w:p>
      <w:r>
        <w:rPr>
          <w:b/>
          <w:i w:val="0"/>
          <w:sz w:val="22"/>
          <w:highlight w:val="yellow"/>
        </w:rPr>
        <w:t>[ADD: Specific purpose of the request, amount requested, grant period, program costs, and service targets.]</w:t>
      </w:r>
    </w:p>
    <w:p>
      <w:r>
        <w:rPr>
          <w:b/>
          <w:i w:val="0"/>
          <w:sz w:val="22"/>
          <w:highlight w:val="yellow"/>
        </w:rPr>
        <w:t>[ADD: Detailed project revenue and expense budget, plus committed, pledged, and pending support and a plan for covering remaining costs.]</w:t>
      </w:r>
    </w:p>
    <w:p>
      <w:r>
        <w:rPr>
          <w:b/>
          <w:i w:val="0"/>
          <w:sz w:val="22"/>
          <w:highlight w:val="yellow"/>
        </w:rPr>
        <w:t>[ADD: Confirm the applicable deadline and review schedule, and whether any additional process-specific attachments are required.]</w:t>
      </w:r>
    </w:p>
    <w:p>
      <w:pPr>
        <w:pStyle w:val="Heading1"/>
      </w:pPr>
      <w:r>
        <w:t>What El Pomar Foundation cares about</w:t>
      </w:r>
    </w:p>
    <w:p>
      <w:r>
        <w:rPr>
          <w:i/>
          <w:sz w:val="22"/>
        </w:rPr>
        <w:t>El Pomar Foundation’s mission is to enhance, encourage, and promote the current and future well-being of the people of Colorado. It makes broad-based grants and runs community programs across the state, with emphasis on arts and culture, civic/community initiatives, education, health, and human services. [S1]</w:t>
      </w:r>
    </w:p>
    <w:p>
      <w:pPr>
        <w:pStyle w:val="ListBullet"/>
      </w:pPr>
      <w:r>
        <w:t>Demonstrable positive, significant difference in people’s lives or progress on an issue important to the community.: Trustees say they look for positive, significant difference and solutions to community issues. [S1]</w:t>
      </w:r>
    </w:p>
    <w:p>
      <w:pPr>
        <w:pStyle w:val="ListBullet"/>
      </w:pPr>
      <w:r>
        <w:t>Strong, feasible plans, financial sustainability, community support, and organizational leadership.: These are named among Trustee considerations; the guidelines also give priority consideration to requests with local and other support. [S1, S2]</w:t>
      </w:r>
    </w:p>
    <w:p>
      <w:pPr>
        <w:pStyle w:val="ListBullet"/>
      </w:pPr>
      <w:r>
        <w:t>Colorado-wide benefit, with particular interest in increasing support in Southern and rural Colorado.: The grant guidelines state this geographic interest; Regional Partnerships channels community-informed grants across 11 regions and all 64 counties. [S2, S3]</w:t>
      </w:r>
    </w:p>
    <w:p>
      <w:pPr>
        <w:pStyle w:val="ListBullet"/>
      </w:pPr>
      <w:r>
        <w:t>Work in arts and culture, civic/community initiatives, education, health, or human services.: The foundation describes these as its areas of greatest emphasis; recent regional grants illustrate a broad range of local needs rather than a narrow issue focus. [S1, S4]</w:t>
      </w:r>
    </w:p>
    <w:p>
      <w:pPr>
        <w:pStyle w:val="Heading2"/>
      </w:pPr>
      <w:r>
        <w:t>Sources</w:t>
      </w:r>
    </w:p>
    <w:p>
      <w:pPr>
        <w:pStyle w:val="ListNumber"/>
      </w:pPr>
      <w:r>
        <w:t>[S1] Grant Making - El Pomar Foundation, El Pomar Foundation. https://www.elpomar.org/grant-making/ (verified in search)</w:t>
      </w:r>
    </w:p>
    <w:p>
      <w:pPr>
        <w:pStyle w:val="ListNumber"/>
      </w:pPr>
      <w:r>
        <w:t>[S2] Grant Process and Guidelines - El Pomar Foundation, El Pomar Foundation. https://www.elpomar.org/grant-making/grant-process/ (verified in search)</w:t>
      </w:r>
    </w:p>
    <w:p>
      <w:pPr>
        <w:pStyle w:val="ListNumber"/>
      </w:pPr>
      <w:r>
        <w:t>[S3] Regional Partnerships - El Pomar Foundation, El Pomar Foundation. https://www.elpomar.org/programs/regional-partnerships/ (verified in search)</w:t>
      </w:r>
    </w:p>
    <w:p>
      <w:pPr>
        <w:pStyle w:val="ListNumber"/>
      </w:pPr>
      <w:r>
        <w:t>[S4] El Pomar Approves Regional Grants, March 2026, El Pomar Foundation. https://www.elpomar.org/wp-content/uploads/2026/04/El-Pomar-Approves-Regional-Grants-March-2026.pdf (verified in search)</w:t>
      </w:r>
    </w:p>
    <w:p>
      <w:pPr>
        <w:pStyle w:val="ListNumber"/>
      </w:pPr>
      <w:r>
        <w:t>[S5] El Pomar Foundation Grants: Required Application Materials, El Pomar Foundation. https://www.elpomar.org/wp-content/uploads/2023/06/grants_requirement_new-1.pdf (verified in search)</w:t>
      </w:r>
    </w:p>
    <w:p>
      <w:pPr>
        <w:pStyle w:val="ListNumber"/>
      </w:pPr>
      <w:r>
        <w:t>[S6] El Pomar Foundation General Grant Terms and Conditions, El Pomar Foundation. https://www.elpomar.org/wp-content/uploads/2026/08/Grant-Terms-and-Conditions-Public-Charity-No-Signature.pdf (verified in search)</w:t>
      </w:r>
    </w:p>
    <w:p>
      <w:pPr>
        <w:pStyle w:val="ListNumber"/>
      </w:pPr>
      <w:r>
        <w:t>[S7] Grant Toolkit - El Pomar Foundation, El Pomar Foundation. https://www.elpomar.org/grant-making/grant-toolkit/ (verified in 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