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360"/>
        </w:tabs>
        <w:spacing w:after="0" w:line="24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Sasha Greenspan, PhD</w:t>
      </w:r>
    </w:p>
    <w:p w:rsidR="00000000" w:rsidDel="00000000" w:rsidP="00000000" w:rsidRDefault="00000000" w:rsidRPr="00000000" w14:paraId="00000002">
      <w:pPr>
        <w:tabs>
          <w:tab w:val="left" w:leader="none" w:pos="360"/>
        </w:tabs>
        <w:spacing w:after="0" w:line="240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Clinical Study Manager | Line Management | Clinical Operations</w:t>
      </w:r>
    </w:p>
    <w:p w:rsidR="00000000" w:rsidDel="00000000" w:rsidP="00000000" w:rsidRDefault="00000000" w:rsidRPr="00000000" w14:paraId="00000003">
      <w:pPr>
        <w:pBdr>
          <w:bottom w:color="000000" w:space="1" w:sz="4" w:val="single"/>
        </w:pBdr>
        <w:tabs>
          <w:tab w:val="left" w:leader="none" w:pos="360"/>
        </w:tabs>
        <w:spacing w:after="0" w:line="240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352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575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8605 |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sasha.greenspan@gmail.com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| </w:t>
      </w:r>
      <w:hyperlink r:id="rId7">
        <w:r w:rsidDel="00000000" w:rsidR="00000000" w:rsidRPr="00000000">
          <w:rPr>
            <w:rFonts w:ascii="Calibri" w:cs="Calibri" w:eastAsia="Calibri" w:hAnsi="Calibri"/>
            <w:color w:val="4a86e8"/>
            <w:sz w:val="22"/>
            <w:szCs w:val="22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| </w:t>
      </w:r>
      <w:hyperlink r:id="rId8">
        <w:r w:rsidDel="00000000" w:rsidR="00000000" w:rsidRPr="00000000">
          <w:rPr>
            <w:rFonts w:ascii="Calibri" w:cs="Calibri" w:eastAsia="Calibri" w:hAnsi="Calibri"/>
            <w:color w:val="4a86e8"/>
            <w:sz w:val="22"/>
            <w:szCs w:val="22"/>
            <w:u w:val="single"/>
            <w:rtl w:val="0"/>
          </w:rPr>
          <w:t xml:space="preserve">Google Scholar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| Baltimore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MD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4" w:val="single"/>
        </w:pBdr>
        <w:tabs>
          <w:tab w:val="left" w:leader="none" w:pos="360"/>
        </w:tabs>
        <w:spacing w:after="0" w:line="240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left" w:leader="none" w:pos="360"/>
        </w:tabs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SUMMARY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Clinical research operations leader with 15+ years of experience managing complex, regulated research programs, including direct line management of multidisciplinary teams. Proven track record delivering pediatric clinical studies with rigor, clarity, and accountability. Committed to a long-term career in global, patient-focused clinical research operations.</w:t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rPr>
          <w:rFonts w:ascii="Calibri" w:cs="Calibri" w:eastAsia="Calibri" w:hAnsi="Calibri"/>
          <w:smallCap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000000" w:space="1" w:sz="4" w:val="single"/>
        </w:pBdr>
        <w:rPr>
          <w:rFonts w:ascii="Calibri" w:cs="Calibri" w:eastAsia="Calibri" w:hAnsi="Calibri"/>
          <w:smallCap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mallCaps w:val="1"/>
          <w:sz w:val="22"/>
          <w:szCs w:val="22"/>
          <w:rtl w:val="0"/>
        </w:rPr>
        <w:t xml:space="preserve">CLINICAL RESEARCH LEADERSHIP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Clinical Research Operations Lead (Direct Line Manager)</w:t>
        <w:tab/>
        <w:tab/>
        <w:tab/>
        <w:t xml:space="preserve">   </w:t>
        <w:tab/>
        <w:t xml:space="preserve">                     </w:t>
        <w:tab/>
        <w:t xml:space="preserve">     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2022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– 2025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Pediatric Neuroimaging Core, Marcus Autism Center, School of Medicine, Emory University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ab/>
        <w:tab/>
        <w:t xml:space="preserve">       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Atlanta, GA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0" w:before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heading=h.6hvjv9b7n9wk" w:id="0"/>
      <w:bookmarkEnd w:id="0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Line Management &amp; Team Leadership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numPr>
          <w:ilvl w:val="0"/>
          <w:numId w:val="2"/>
        </w:numPr>
        <w:spacing w:after="0" w:before="0" w:lineRule="auto"/>
        <w:ind w:left="720" w:hanging="360"/>
        <w:rPr>
          <w:rFonts w:ascii="Calibri" w:cs="Calibri" w:eastAsia="Calibri" w:hAnsi="Calibri"/>
          <w:b w:val="0"/>
          <w:bCs w:val="0"/>
          <w:sz w:val="22"/>
          <w:szCs w:val="22"/>
        </w:rPr>
      </w:pPr>
      <w:bookmarkStart w:colFirst="0" w:colLast="0" w:name="_heading=h.birlxaqzhyo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Provided direct line management for multidisciplinary clinical research staff supporting multiple concurrent clinical studies, ensuring consistent performance, protocol adherence, and regulatory compliance.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numPr>
          <w:ilvl w:val="0"/>
          <w:numId w:val="2"/>
        </w:numPr>
        <w:spacing w:after="0" w:before="0" w:lineRule="auto"/>
        <w:ind w:left="720" w:hanging="360"/>
        <w:rPr>
          <w:rFonts w:ascii="Calibri" w:cs="Calibri" w:eastAsia="Calibri" w:hAnsi="Calibri"/>
          <w:b w:val="0"/>
          <w:bCs w:val="0"/>
          <w:sz w:val="22"/>
          <w:szCs w:val="22"/>
        </w:rPr>
      </w:pPr>
      <w:bookmarkStart w:colFirst="0" w:colLast="0" w:name="_heading=h.birlxaqzhyo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Conducted performance reviews, delivered coaching and corrective feedback, and supported retention through individualized development and remediation plans.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numPr>
          <w:ilvl w:val="0"/>
          <w:numId w:val="2"/>
        </w:numPr>
        <w:spacing w:after="0" w:before="0" w:lineRule="auto"/>
        <w:ind w:left="720" w:hanging="360"/>
        <w:rPr>
          <w:rFonts w:ascii="Calibri" w:cs="Calibri" w:eastAsia="Calibri" w:hAnsi="Calibri"/>
          <w:b w:val="0"/>
          <w:bCs w:val="0"/>
          <w:sz w:val="22"/>
          <w:szCs w:val="22"/>
        </w:rPr>
      </w:pPr>
      <w:bookmarkStart w:colFirst="0" w:colLast="0" w:name="_heading=h.birlxaqzhyo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Designed staffing models, coverage plans, and cross-site scheduling matrices to support enrollment surges, study complexity, and uninterrupted operations.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numPr>
          <w:ilvl w:val="0"/>
          <w:numId w:val="2"/>
        </w:numPr>
        <w:spacing w:after="0" w:before="0" w:lineRule="auto"/>
        <w:ind w:left="720" w:hanging="360"/>
        <w:rPr>
          <w:rFonts w:ascii="Calibri" w:cs="Calibri" w:eastAsia="Calibri" w:hAnsi="Calibri"/>
          <w:b w:val="0"/>
          <w:bCs w:val="0"/>
          <w:sz w:val="22"/>
          <w:szCs w:val="22"/>
        </w:rPr>
      </w:pPr>
      <w:bookmarkStart w:colFirst="0" w:colLast="0" w:name="_heading=h.birlxaqzhyo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Implemented structured onboarding, training, and competency frameworks to ensure staff readiness across study start-up, execution, and close-out phases.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0" w:before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heading=h.txc2jrx2qur3" w:id="2"/>
      <w:bookmarkEnd w:id="2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Clinical Operations &amp; Study Management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rPr>
          <w:rFonts w:ascii="Calibri" w:cs="Calibri" w:eastAsia="Calibri" w:hAnsi="Calibri"/>
          <w:b w:val="0"/>
          <w:bCs w:val="0"/>
          <w:sz w:val="22"/>
          <w:szCs w:val="22"/>
        </w:rPr>
      </w:pPr>
      <w:bookmarkStart w:colFirst="0" w:colLast="0" w:name="_heading=h.birlxaqzhyo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Served as primary operational study lead for multimillion-dollar, device-enabled pediatric clinical studies, overseeing study start-up, execution, and close-out.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rPr>
          <w:rFonts w:ascii="Calibri" w:cs="Calibri" w:eastAsia="Calibri" w:hAnsi="Calibri"/>
          <w:b w:val="0"/>
          <w:bCs w:val="0"/>
          <w:sz w:val="22"/>
          <w:szCs w:val="22"/>
        </w:rPr>
      </w:pPr>
      <w:bookmarkStart w:colFirst="0" w:colLast="0" w:name="_heading=h.birlxaqzhyo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Directed study start-up activities including IRB submissions, site activation, REDCap database build-out, staff onboarding, and vendor initiation.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rPr>
          <w:rFonts w:ascii="Calibri" w:cs="Calibri" w:eastAsia="Calibri" w:hAnsi="Calibri"/>
          <w:b w:val="0"/>
          <w:bCs w:val="0"/>
          <w:sz w:val="22"/>
          <w:szCs w:val="22"/>
        </w:rPr>
      </w:pPr>
      <w:bookmarkStart w:colFirst="0" w:colLast="0" w:name="_heading=h.birlxaqzhyo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Oversaw day-to-day study execution through operational and data quality reviews, proactively identifying risks, implementing corrective actions, and escalating issues to leadership.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rPr>
          <w:rFonts w:ascii="Calibri" w:cs="Calibri" w:eastAsia="Calibri" w:hAnsi="Calibri"/>
          <w:b w:val="0"/>
          <w:bCs w:val="0"/>
          <w:sz w:val="22"/>
          <w:szCs w:val="22"/>
        </w:rPr>
      </w:pPr>
      <w:bookmarkStart w:colFirst="0" w:colLast="0" w:name="_heading=h.birlxaqzhyo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Managed cross-functional internal and external stakeholders, including sites, vendors, regulatory teams, data management, and senior leadership to ensure milestone adherence.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rPr>
          <w:rFonts w:ascii="Calibri" w:cs="Calibri" w:eastAsia="Calibri" w:hAnsi="Calibri"/>
          <w:b w:val="0"/>
          <w:bCs w:val="0"/>
          <w:sz w:val="22"/>
          <w:szCs w:val="22"/>
        </w:rPr>
      </w:pPr>
      <w:bookmarkStart w:colFirst="0" w:colLast="0" w:name="_heading=h.birlxaqzhyo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Oversaw vendor performance and monitoring activities, resolving issues and ensuring alignment with study timelines, quality standards, and deliverables.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numPr>
          <w:ilvl w:val="0"/>
          <w:numId w:val="1"/>
        </w:numPr>
        <w:spacing w:after="0" w:before="0" w:lineRule="auto"/>
        <w:ind w:left="720" w:hanging="360"/>
        <w:rPr>
          <w:rFonts w:ascii="Calibri" w:cs="Calibri" w:eastAsia="Calibri" w:hAnsi="Calibri"/>
          <w:b w:val="0"/>
          <w:bCs w:val="0"/>
          <w:sz w:val="22"/>
          <w:szCs w:val="22"/>
        </w:rPr>
      </w:pPr>
      <w:bookmarkStart w:colFirst="0" w:colLast="0" w:name="_heading=h.birlxaqzhyo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Led study close-out, including data reconciliation, audit-ready file organization, and preparation of documentation for reports and publications.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0" w:before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heading=h.6jgtswowaibm" w:id="3"/>
      <w:bookmarkEnd w:id="3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Quality, Compliance &amp; Inspection Readiness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numPr>
          <w:ilvl w:val="0"/>
          <w:numId w:val="9"/>
        </w:numPr>
        <w:spacing w:after="0" w:before="0" w:lineRule="auto"/>
        <w:ind w:left="720" w:hanging="360"/>
        <w:rPr>
          <w:rFonts w:ascii="Calibri" w:cs="Calibri" w:eastAsia="Calibri" w:hAnsi="Calibri"/>
          <w:b w:val="0"/>
          <w:bCs w:val="0"/>
          <w:sz w:val="22"/>
          <w:szCs w:val="22"/>
        </w:rPr>
      </w:pPr>
      <w:bookmarkStart w:colFirst="0" w:colLast="0" w:name="_heading=h.birlxaqzhyo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Authored, reviewed, and quality-controlled protocols, informed consent forms, amendments, continuing reviews, and clinical reports in compliance with FDA and ICH-GCP requirements.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numPr>
          <w:ilvl w:val="0"/>
          <w:numId w:val="9"/>
        </w:numPr>
        <w:spacing w:after="0" w:before="0" w:lineRule="auto"/>
        <w:ind w:left="720" w:hanging="360"/>
        <w:rPr>
          <w:rFonts w:ascii="Calibri" w:cs="Calibri" w:eastAsia="Calibri" w:hAnsi="Calibri"/>
          <w:b w:val="0"/>
          <w:bCs w:val="0"/>
          <w:sz w:val="22"/>
          <w:szCs w:val="22"/>
        </w:rPr>
      </w:pPr>
      <w:bookmarkStart w:colFirst="0" w:colLast="0" w:name="_heading=h.birlxaqzhyo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Built and maintained a comprehensive SOP library standardizing operational processes, documentation practices, and role responsibilities across study teams.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numPr>
          <w:ilvl w:val="0"/>
          <w:numId w:val="9"/>
        </w:numPr>
        <w:spacing w:after="0" w:before="0" w:lineRule="auto"/>
        <w:ind w:left="720" w:hanging="360"/>
        <w:rPr>
          <w:rFonts w:ascii="Calibri" w:cs="Calibri" w:eastAsia="Calibri" w:hAnsi="Calibri"/>
          <w:b w:val="0"/>
          <w:bCs w:val="0"/>
          <w:sz w:val="22"/>
          <w:szCs w:val="22"/>
        </w:rPr>
      </w:pPr>
      <w:bookmarkStart w:colFirst="0" w:colLast="0" w:name="_heading=h.birlxaqzhyo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Led document planning, version control, and cross-functional review cycles to ensure submission readiness and inspection preparedness.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numPr>
          <w:ilvl w:val="0"/>
          <w:numId w:val="9"/>
        </w:numPr>
        <w:spacing w:after="0" w:before="0" w:lineRule="auto"/>
        <w:ind w:left="720" w:hanging="360"/>
        <w:rPr>
          <w:rFonts w:ascii="Calibri" w:cs="Calibri" w:eastAsia="Calibri" w:hAnsi="Calibri"/>
          <w:b w:val="0"/>
          <w:bCs w:val="0"/>
          <w:sz w:val="22"/>
          <w:szCs w:val="22"/>
        </w:rPr>
      </w:pPr>
      <w:bookmarkStart w:colFirst="0" w:colLast="0" w:name="_heading=h.birlxaqzhyo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Served as scientific and regulatory liaison, translating complex study requirements into clear operational guidance for study teams.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0" w:before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bookmarkStart w:colFirst="0" w:colLast="0" w:name="_heading=h.s8ffyaor8co6" w:id="4"/>
      <w:bookmarkEnd w:id="4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Enrollment, Vendors &amp; Financial Oversight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numPr>
          <w:ilvl w:val="0"/>
          <w:numId w:val="7"/>
        </w:numPr>
        <w:spacing w:after="0" w:before="0" w:lineRule="auto"/>
        <w:ind w:left="720" w:hanging="360"/>
        <w:rPr>
          <w:rFonts w:ascii="Calibri" w:cs="Calibri" w:eastAsia="Calibri" w:hAnsi="Calibri"/>
          <w:b w:val="0"/>
          <w:bCs w:val="0"/>
          <w:sz w:val="22"/>
          <w:szCs w:val="22"/>
        </w:rPr>
      </w:pPr>
      <w:bookmarkStart w:colFirst="0" w:colLast="0" w:name="_heading=h.birlxaqzhyo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Implemented HIPAA-compliant digital outreach and accessibility initiatives, tripling enrollment among historically underrepresented pediatric populations and improving longitudinal retention.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numPr>
          <w:ilvl w:val="0"/>
          <w:numId w:val="7"/>
        </w:numPr>
        <w:spacing w:after="0" w:before="0" w:lineRule="auto"/>
        <w:ind w:left="720" w:hanging="360"/>
        <w:rPr>
          <w:rFonts w:ascii="Calibri" w:cs="Calibri" w:eastAsia="Calibri" w:hAnsi="Calibri"/>
          <w:b w:val="0"/>
          <w:bCs w:val="0"/>
          <w:sz w:val="22"/>
          <w:szCs w:val="22"/>
        </w:rPr>
      </w:pPr>
      <w:bookmarkStart w:colFirst="0" w:colLast="0" w:name="_heading=h.6nxi5c7c3ql6" w:id="5"/>
      <w:bookmarkEnd w:id="5"/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Owned study budgets, forecasts, and vendor financial management, monitoring spend, mitigating financial risk, and supporting contract and invoice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0" w:before="0" w:lineRule="auto"/>
        <w:ind w:left="1440" w:firstLine="0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spacing w:after="0" w:line="240" w:lineRule="auto"/>
        <w:ind w:left="0" w:firstLine="0"/>
        <w:rPr>
          <w:rFonts w:ascii="Calibri" w:cs="Calibri" w:eastAsia="Calibri" w:hAnsi="Calibri"/>
          <w:smallCaps w:val="1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mallCaps w:val="1"/>
          <w:sz w:val="22"/>
          <w:szCs w:val="22"/>
          <w:rtl w:val="0"/>
        </w:rPr>
        <w:t xml:space="preserve">OTHER RESEARCH, PROJECT MANAGEMENT, &amp; LEADERSHIP </w:t>
      </w:r>
      <w:r w:rsidDel="00000000" w:rsidR="00000000" w:rsidRPr="00000000">
        <w:rPr>
          <w:rFonts w:ascii="Calibri" w:cs="Calibri" w:eastAsia="Calibri" w:hAnsi="Calibri"/>
          <w:smallCaps w:val="1"/>
          <w:color w:val="000000"/>
          <w:sz w:val="22"/>
          <w:szCs w:val="22"/>
          <w:rtl w:val="0"/>
        </w:rPr>
        <w:t xml:space="preserve">EXPERIENCE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Program Administrator (Line Management &amp; Program Operations)</w:t>
        <w:tab/>
        <w:tab/>
        <w:tab/>
        <w:tab/>
        <w:tab/>
        <w:t xml:space="preserve"> 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Center for Excellence in Public Health Leadership, Kennedy Krieger Institute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           </w:t>
        <w:tab/>
        <w:tab/>
        <w:t xml:space="preserve">  </w:t>
        <w:tab/>
        <w:t xml:space="preserve"> 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Baltimore, MD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Joint faculty appointment: Assistant Scientist</w:t>
      </w:r>
    </w:p>
    <w:p w:rsidR="00000000" w:rsidDel="00000000" w:rsidP="00000000" w:rsidRDefault="00000000" w:rsidRPr="00000000" w14:paraId="00000024">
      <w:pPr>
        <w:spacing w:after="0" w:before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Department of Molecular Microbiology and Immunology, Bloomberg School of Public Health, Johns Hopkins University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Provide day-to-day line management and operational oversight for a nationwide, multi-institutional research program supporting 40+ scholars annually.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Oversee recruitment, selection, onboarding, and placement, establishing expectations, milestones, and accountability structures across cohorts.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Build and maintain relationships with 50+ distributed research partners, assessing feasibility of proposed projects and supporting delivery of local study objectives.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Serve as primary liaison and escalation point, coordinating issue resolution across fellows, research partners, and institutional leadership.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8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Lead federal reporting and program evaluation, overseeing data collection, outcome synthesis, and preparation of reports and manuscripts for stakeholders.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Operations Lead &amp; Co-founder</w:t>
        <w:tab/>
        <w:tab/>
        <w:tab/>
        <w:tab/>
        <w:tab/>
        <w:tab/>
        <w:tab/>
        <w:tab/>
        <w:tab/>
        <w:t xml:space="preserve">      </w:t>
        <w:tab/>
        <w:t xml:space="preserve">     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2019 –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Student Network for Amphibian Pathogen Surveillance (SNAPS)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  <w:tab/>
        <w:tab/>
        <w:tab/>
        <w:tab/>
        <w:tab/>
        <w:tab/>
        <w:t xml:space="preserve">Remote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Scaled a distributed, international, multi-institutional research network from 0 to 1,250+ participants </w:t>
      </w:r>
    </w:p>
    <w:p w:rsidR="00000000" w:rsidDel="00000000" w:rsidP="00000000" w:rsidRDefault="00000000" w:rsidRPr="00000000" w14:paraId="0000002D">
      <w:pPr>
        <w:spacing w:after="0" w:lineRule="auto"/>
        <w:ind w:left="72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across 50+ institutions in 33 states.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8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Supervised distributed student research teams, standardized operational workflows, and ensured consistent performance across high-throughput field and laboratory research activities.</w:t>
      </w:r>
    </w:p>
    <w:p w:rsidR="00000000" w:rsidDel="00000000" w:rsidP="00000000" w:rsidRDefault="00000000" w:rsidRPr="00000000" w14:paraId="0000002F">
      <w:pPr>
        <w:spacing w:after="0" w:line="240" w:lineRule="auto"/>
        <w:ind w:left="0" w:firstLine="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Research Associate </w:t>
        <w:tab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  <w:tab/>
        <w:tab/>
        <w:tab/>
        <w:tab/>
        <w:tab/>
        <w:tab/>
        <w:t xml:space="preserve">   </w:t>
        <w:tab/>
        <w:tab/>
        <w:tab/>
        <w:t xml:space="preserve">      2018 – 2022  </w:t>
      </w:r>
    </w:p>
    <w:p w:rsidR="00000000" w:rsidDel="00000000" w:rsidP="00000000" w:rsidRDefault="00000000" w:rsidRPr="00000000" w14:paraId="00000030">
      <w:pPr>
        <w:spacing w:after="0" w:line="240" w:lineRule="auto"/>
        <w:ind w:left="0" w:firstLine="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Department of Biological Sciences, University of Alabama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ab/>
        <w:t xml:space="preserve">      </w:t>
        <w:tab/>
        <w:tab/>
        <w:tab/>
        <w:tab/>
        <w:t xml:space="preserve">  </w:t>
        <w:tab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Tuscaloosa, 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Led international, multi-site emerging infectious disease field research program and  molecular analysis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Managed buildout of two molecular labs (budgets, vendor contracts, procurement, training, compliance) 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line="240" w:lineRule="auto"/>
        <w:ind w:left="720" w:hanging="360"/>
        <w:rPr>
          <w:rFonts w:ascii="Calibri" w:cs="Calibri" w:eastAsia="Calibri" w:hAnsi="Calibri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Co-managed $1M+ in federal funding; developed budgets, wrote grants (2 NSF awards), and forecasted spend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80" w:line="240" w:lineRule="auto"/>
        <w:ind w:left="720" w:hanging="360"/>
        <w:rPr>
          <w:rFonts w:ascii="Calibri" w:cs="Calibri" w:eastAsia="Calibri" w:hAnsi="Calibri"/>
          <w:sz w:val="22"/>
          <w:szCs w:val="22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highlight w:val="white"/>
          <w:rtl w:val="0"/>
        </w:rPr>
        <w:t xml:space="preserve">Mentored and facilitated research &amp; publication output of 8 graduate students; authored 17 papers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Research Scientist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School of Biology and Ecology, University of Maine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  <w:tab/>
        <w:tab/>
        <w:tab/>
        <w:tab/>
        <w:t xml:space="preserve">                 2010-2011, Orono, ME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College of Science &amp; Engineering, James Cook University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  <w:tab/>
        <w:tab/>
        <w:tab/>
        <w:t xml:space="preserve">           2014-2017, Queensland, Australia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Assessed feasibility, designed, and led 7+ complex, long-term research projects with uncertain outcomes to successful completion under minimal supervision.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systematic, data-driven decision frameworks to resolve previously unsolved technical and life sciences research challenges.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8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Designed, built, and validated open-source, low-cost experimental research technology, closing a critical infrastructure gap in climate research in collaboration with engineers and software developers.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Project Lead (Research)</w:t>
        <w:tab/>
        <w:tab/>
        <w:tab/>
        <w:tab/>
        <w:tab/>
        <w:tab/>
        <w:tab/>
        <w:tab/>
        <w:tab/>
        <w:t xml:space="preserve">     </w:t>
        <w:tab/>
        <w:tab/>
        <w:t xml:space="preserve">     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2005 –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UGA Marine Institute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|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 Jones Center at Ichauway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La Selva Biological Station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National Park Service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    Various locations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Implemented multi-site global change research, wildlife infectious disease surveillance, and conservation efforts  </w:t>
      </w:r>
    </w:p>
    <w:p w:rsidR="00000000" w:rsidDel="00000000" w:rsidP="00000000" w:rsidRDefault="00000000" w:rsidRPr="00000000" w14:paraId="0000003E">
      <w:pPr>
        <w:pBdr>
          <w:bottom w:color="000000" w:space="1" w:sz="4" w:val="single"/>
        </w:pBdr>
        <w:tabs>
          <w:tab w:val="left" w:leader="none" w:pos="360"/>
        </w:tabs>
        <w:spacing w:after="0" w:line="240" w:lineRule="auto"/>
        <w:rPr>
          <w:rFonts w:ascii="Calibri" w:cs="Calibri" w:eastAsia="Calibri" w:hAnsi="Calibri"/>
          <w:smallCap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000000" w:space="1" w:sz="4" w:val="single"/>
        </w:pBdr>
        <w:tabs>
          <w:tab w:val="left" w:leader="none" w:pos="360"/>
        </w:tabs>
        <w:spacing w:after="0" w:line="240" w:lineRule="auto"/>
        <w:rPr>
          <w:rFonts w:ascii="Calibri" w:cs="Calibri" w:eastAsia="Calibri" w:hAnsi="Calibri"/>
          <w:smallCap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mallCaps w:val="1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PhD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  <w:rtl w:val="0"/>
        </w:rPr>
        <w:t xml:space="preserve">cum laude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, Biology,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James Cook University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  <w:tab/>
        <w:tab/>
        <w:tab/>
        <w:tab/>
        <w:tab/>
        <w:tab/>
        <w:tab/>
        <w:t xml:space="preserve">     </w:t>
        <w:tab/>
        <w:t xml:space="preserve">     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2014 –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MS, Biology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University of Maine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ab/>
        <w:tab/>
        <w:tab/>
        <w:tab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  <w:tab/>
        <w:tab/>
        <w:tab/>
        <w:tab/>
        <w:t xml:space="preserve">      2010 – 2011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BA, Environmental Science, Anthropology,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Wesleyan University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  <w:tab/>
        <w:t xml:space="preserve">  </w:t>
        <w:tab/>
        <w:tab/>
        <w:tab/>
        <w:tab/>
        <w:t xml:space="preserve">      </w:t>
        <w:tab/>
        <w:t xml:space="preserve">      2002 – 2006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000000" w:space="1" w:sz="4" w:val="single"/>
        </w:pBdr>
        <w:tabs>
          <w:tab w:val="left" w:leader="none" w:pos="360"/>
        </w:tabs>
        <w:spacing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mallCaps w:val="1"/>
          <w:sz w:val="22"/>
          <w:szCs w:val="22"/>
          <w:rtl w:val="0"/>
        </w:rPr>
        <w:t xml:space="preserve">TOOLS &amp;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Communication &amp; Writing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Microsoft Word (advanced), Adobe Acrobat, scientific editing, quality control workflows, regulatory formatting standards, Adobe Illustrator, Mendeley, EndNote, Zoom, Webex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Data &amp; Analysis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REDCap, Qualtrics, R, JMP, QIIME, Excel (advanced)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Ops &amp; Admin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Smartsheet, Microsoft 365 (including MS Project and OneNote), SharePoint, Asana (completed Asana Foundations Skills Badge), Zendesk (completed Foundational Support Learning Path), ClickUp, Basecamp, Slack</w:t>
      </w:r>
    </w:p>
    <w:p w:rsidR="00000000" w:rsidDel="00000000" w:rsidP="00000000" w:rsidRDefault="00000000" w:rsidRPr="00000000" w14:paraId="00000048">
      <w:pPr>
        <w:spacing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Compliance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IRB/GCP-ICH, electronic regulatory binders, IACUC, DTAs, EHS, IP agreements, federal grant reporting </w:t>
      </w:r>
    </w:p>
    <w:sectPr>
      <w:footerReference r:id="rId9" w:type="default"/>
      <w:pgSz w:h="15840" w:w="12240" w:orient="portrait"/>
      <w:pgMar w:bottom="576" w:top="576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jc w:val="cente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FD57E7"/>
    <w:pPr>
      <w:ind w:left="720"/>
      <w:contextualSpacing w:val="1"/>
    </w:pPr>
  </w:style>
  <w:style w:type="paragraph" w:styleId="BalloonText">
    <w:name w:val="Balloon Text"/>
    <w:basedOn w:val="Normal"/>
    <w:link w:val="BalloonTextChar"/>
    <w:semiHidden w:val="1"/>
    <w:rsid w:val="00FD57E7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semiHidden w:val="1"/>
    <w:rsid w:val="00FD57E7"/>
    <w:rPr>
      <w:rFonts w:ascii="Tahoma" w:cs="Tahoma" w:eastAsia="Times New Roman" w:hAnsi="Tahoma"/>
      <w:sz w:val="16"/>
      <w:szCs w:val="16"/>
    </w:rPr>
  </w:style>
  <w:style w:type="character" w:styleId="q1" w:customStyle="1">
    <w:name w:val="q1"/>
    <w:basedOn w:val="DefaultParagraphFont"/>
    <w:rsid w:val="00D7030C"/>
    <w:rPr>
      <w:color w:val="550055"/>
      <w:sz w:val="19"/>
      <w:szCs w:val="19"/>
    </w:rPr>
  </w:style>
  <w:style w:type="character" w:styleId="go" w:customStyle="1">
    <w:name w:val="go"/>
    <w:basedOn w:val="DefaultParagraphFont"/>
    <w:rsid w:val="00D7030C"/>
  </w:style>
  <w:style w:type="character" w:styleId="body" w:customStyle="1">
    <w:name w:val="body"/>
    <w:basedOn w:val="DefaultParagraphFont"/>
    <w:rsid w:val="00563CB4"/>
  </w:style>
  <w:style w:type="paragraph" w:styleId="Default" w:customStyle="1">
    <w:name w:val="Default"/>
    <w:rsid w:val="00563CB4"/>
    <w:pPr>
      <w:autoSpaceDE w:val="0"/>
      <w:autoSpaceDN w:val="0"/>
      <w:adjustRightInd w:val="0"/>
    </w:pPr>
    <w:rPr>
      <w:rFonts w:ascii="Arial" w:cs="Arial" w:hAnsi="Arial"/>
      <w:color w:val="000000"/>
    </w:rPr>
  </w:style>
  <w:style w:type="paragraph" w:styleId="Header">
    <w:name w:val="header"/>
    <w:basedOn w:val="Normal"/>
    <w:link w:val="HeaderChar"/>
    <w:uiPriority w:val="99"/>
    <w:semiHidden w:val="1"/>
    <w:unhideWhenUsed w:val="1"/>
    <w:rsid w:val="0076318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763181"/>
    <w:rPr>
      <w:rFonts w:cs="Times New Roman" w:eastAsia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76318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63181"/>
    <w:rPr>
      <w:rFonts w:cs="Times New Roman" w:eastAsia="Times New Roman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994A9E"/>
    <w:rPr>
      <w:rFonts w:cs="Times New Roman" w:eastAsia="Times New Roman"/>
      <w:b w:val="1"/>
      <w:bCs w:val="1"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 w:val="1"/>
    <w:rsid w:val="00095A6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095A60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7E64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7E6494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7E6494"/>
    <w:rPr>
      <w:rFonts w:cs="Times New Roman" w:eastAsia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7E6494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7E6494"/>
    <w:rPr>
      <w:rFonts w:cs="Times New Roman" w:eastAsia="Times New Roman"/>
      <w:b w:val="1"/>
      <w:bCs w:val="1"/>
      <w:sz w:val="20"/>
      <w:szCs w:val="20"/>
    </w:rPr>
  </w:style>
  <w:style w:type="paragraph" w:styleId="Revision">
    <w:name w:val="Revision"/>
    <w:hidden w:val="1"/>
    <w:uiPriority w:val="99"/>
    <w:semiHidden w:val="1"/>
    <w:rsid w:val="007E6494"/>
  </w:style>
  <w:style w:type="character" w:styleId="kno-fv-vq" w:customStyle="1">
    <w:name w:val="kno-fv-vq"/>
    <w:basedOn w:val="DefaultParagraphFont"/>
    <w:rsid w:val="00A1050F"/>
  </w:style>
  <w:style w:type="table" w:styleId="TableGrid">
    <w:name w:val="Table Grid"/>
    <w:basedOn w:val="TableNormal"/>
    <w:uiPriority w:val="59"/>
    <w:rsid w:val="00A1050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B4714D"/>
    <w:rPr>
      <w:color w:val="605e5c"/>
      <w:shd w:color="auto" w:fill="e1dfdd" w:val="clear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1870E4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sasha-greenspan-23690455/" TargetMode="External"/><Relationship Id="rId8" Type="http://schemas.openxmlformats.org/officeDocument/2006/relationships/hyperlink" Target="https://scholar.google.com/citations?hl=en&amp;user=kuVFFXcAAAAJ&amp;sortby=pubdate&amp;view_op=list_works&amp;gmla=AH70aAVvvY9Mu-8Ojlcf0WqssI9p9w_ywtkVyb8Jm9wqg-hlEJsZ0OVTlCFcXvw8gQLYKNe-DJyGA8c_Yimg6qH9shJE_hZG3w5JBqgLOzzlfz9NZ79-3_RY4cA59ufCdFatxYkAhIUdB_EHK76t8CnbJ0ypgsl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HZQ1iDxKk1txtTDGeNAPBv64cw==">CgMxLjAyDmguNmh2anY5YjduOXdrMg1oLmJpcmx4YXF6aHlvMg1oLmJpcmx4YXF6aHlvMg1oLmJpcmx4YXF6aHlvMg1oLmJpcmx4YXF6aHlvMg5oLnR4YzJqcngycXVyMzINaC5iaXJseGFxemh5bzINaC5iaXJseGFxemh5bzINaC5iaXJseGFxemh5bzINaC5iaXJseGFxemh5bzINaC5iaXJseGFxemh5bzINaC5iaXJseGFxemh5bzIOaC42amd0c3dvd2FpYm0yDWguYmlybHhhcXpoeW8yDWguYmlybHhhcXpoeW8yDWguYmlybHhhcXpoeW8yDWguYmlybHhhcXpoeW8yDmguczhmZnlhb3I4Y282Mg1oLmJpcmx4YXF6aHlvMg5oLjZueGk1YzdjM3FsNjgAciExQkQ4Z1hJVVNrc25USnViOGJLc3FIWG5yTmkyZkEtb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2023-09-11T00:39:00Z</dcterms:created>
  <dc:creator>Sasha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</Properties>
</file>