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C002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acessa a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compromissos do usuário e suas datas.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clica no evento que deseja ver mais detalhadamente.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amplia o compromisso selecionado mostrando hora, local e um botão desmarcar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Verificação da agenda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 a verificação for concluída o usuário saberá os seus compromissos.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O tempo de resposta do sistema deverá ser de até 3 segundos.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002 Verificar Agenda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