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UC009 Cadastrar Roteiro do Curso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um roteiro que deverá ser seguido pelo veterano na hora do encontro.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67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spacing w:after="60" w:before="120" w:lineRule="auto"/>
        <w:ind w:left="567" w:hanging="567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um curso.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para ser feito o cadastro de roteiro.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descreve algumas ações que deverão ser tomadas no encontro, depois de terminar o roteiro deverá clicar em concluir.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que o roteiro foi adicionado ao curso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after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before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67" w:hanging="567"/>
        <w:contextualSpacing w:val="1"/>
        <w:rPr/>
      </w:pPr>
      <w:r w:rsidDel="00000000" w:rsidR="00000000" w:rsidRPr="00000000">
        <w:rPr>
          <w:rtl w:val="0"/>
        </w:rPr>
        <w:t xml:space="preserve">Roteiro cadastrado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para o veterano o roteiro que ele deverá seguir em um encontro.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009 Cadastrar Roteiro do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