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UC011 Preencher Relatório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Este caso de uso descreve como o usuário deve preencher o relatório referente ao encontro realizado.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Veterano.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contextualSpacing w:val="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Usuário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na opção emitir relatório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uma caixa de texto para o usuário fazer a sua avaliação.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relata a experiência e ao final confirma o relatório.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a realização do relatório e libera os horários de ambos usuários.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libera relatório para o administrador avaliar e envia uma notificação para o seu e-mail.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Confirmado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libera o compromisso da agenda de ambos usuários, libera o relatório para o administrador e envia uma notificação para o mesmo por e-mail.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011 Preencher Relatório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11/04/2017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