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Douglas Frattini Edwards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Professor David Smallberg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 SCI 31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 October 2022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A: Notable Obstacles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 obstacle was figuring out what order of if/else statements to use to break up the tax brackets. I decided on going from lowest income up, first checking if someone made under a bracket and applying the percentage to their income and then checking for someone who makes more than that bracket. I’m sure there was a more efficient way of doing this, but it doesn’t matter too much in this context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made a couple mistakes interpreting the instructions to code. For instance: a realized that I had written it as if the three brackets were $55,000, $70,000, and $125,000, whereas upon closer inspection the instructions said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$70,000 (meaning the $70,000) between 55 and 125k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B: Rigorous Test Data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Incomes throughout all of the tax brackets (&lt;$55000, &lt;$125000, &gt;$125000) to ensure that brackets and percentages are calculated correctly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Testing teacher and nurse occupations at all tax brackets to ensure detection of both job types and proper application of deductions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Testing different numbers of  kids at all tax brackets and with both types of occupation to make sure calculation is done correctly and interacts properly with job-based deductions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batches where the number of kids would result in negative tax amounts or changes in the tax bracket totals to ensure there are no outlier exceptions in the code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