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2"/>
          <w:u w:val="none"/>
        </w:rPr>
        <w:t>Douglas Gordon Daly</w:t>
      </w:r>
    </w:p>
    <w:p>
      <w:pPr>
        <w:spacing w:before="0" w:after="60"/>
        <w:jc w:val="center"/>
      </w:pPr>
      <w:r>
        <w:rPr>
          <w:b w:val="0"/>
          <w:i w:val="0"/>
          <w:sz w:val="17"/>
          <w:u w:val="none"/>
        </w:rPr>
        <w:t>Portland, OR | douglasgdaly@gmail.com | (650) 586-9720 | linkedin.com/in/douglasdaly | github.com/dougdaly</w:t>
      </w:r>
    </w:p>
    <w:p>
      <w:pPr>
        <w:spacing w:before="100" w:after="20"/>
        <w:pBdr>
          <w:bottom w:val="single" w:sz="4" w:space="1" w:color="auto"/>
        </w:pBdr>
      </w:pPr>
      <w:r>
        <w:rPr>
          <w:b/>
          <w:i w:val="0"/>
          <w:sz w:val="20"/>
          <w:u w:val="none"/>
        </w:rPr>
        <w:t>SUMMARY</w:t>
      </w:r>
    </w:p>
    <w:p>
      <w:pPr>
        <w:spacing w:before="0" w:after="60"/>
      </w:pPr>
      <w:r>
        <w:rPr>
          <w:b w:val="0"/>
          <w:i w:val="0"/>
          <w:sz w:val="18"/>
          <w:u w:val="none"/>
        </w:rPr>
        <w:t>Principal AI Engineer and Technical Leader with 20+ years of experience building systems that help organizations understand what is happening, why it is happening, and what to do next. Expertise spans operational intelligence, decision-support systems, attribution analytics, observability, graph analytics, and AI-enabled business systems.</w:t>
      </w:r>
    </w:p>
    <w:p>
      <w:pPr>
        <w:spacing w:before="0" w:after="60"/>
      </w:pPr>
      <w:r>
        <w:rPr>
          <w:b w:val="0"/>
          <w:i w:val="0"/>
          <w:sz w:val="18"/>
          <w:u w:val="none"/>
        </w:rPr>
        <w:t>Designed and delivered solutions ranging from a patented radar resource-management system and enterprise-scale operational monitoring platforms to merchant intelligence systems, reliability analytics, graph-based dependency modeling, GenAI assistants, and AI-enabled decision support solutions. Combines deep expertise in machine learning, cloud platforms, data engineering, and modern LLM architectures with a proven ability to translate complex business problems into practical, measurable outcomes.</w:t>
      </w:r>
    </w:p>
    <w:p>
      <w:pPr>
        <w:spacing w:before="100" w:after="20"/>
        <w:pBdr>
          <w:bottom w:val="single" w:sz="4" w:space="1" w:color="auto"/>
        </w:pBdr>
      </w:pPr>
      <w:r>
        <w:rPr>
          <w:b/>
          <w:i w:val="0"/>
          <w:sz w:val="20"/>
          <w:u w:val="none"/>
        </w:rPr>
        <w:t>CORE TECHNOLOGIES</w:t>
      </w:r>
    </w:p>
    <w:p>
      <w:pPr>
        <w:spacing w:before="0" w:after="0"/>
      </w:pPr>
      <w:r>
        <w:rPr>
          <w:b/>
          <w:i w:val="0"/>
          <w:sz w:val="17"/>
          <w:u w:val="none"/>
        </w:rPr>
        <w:t xml:space="preserve">AI &amp; Machine Learning: </w:t>
      </w:r>
      <w:r>
        <w:rPr>
          <w:b w:val="0"/>
          <w:i w:val="0"/>
          <w:sz w:val="17"/>
          <w:u w:val="none"/>
        </w:rPr>
        <w:t>LLMs | RAG | Agentic AI | LangGraph | CrewAI | AutoGen | MCP | Prompt Engineering | PEFT/LoRA | Fine-Tuning | Diffusion Models | CLIP | Scikit-Learn | XGBoost</w:t>
      </w:r>
    </w:p>
    <w:p>
      <w:pPr>
        <w:spacing w:before="0" w:after="0"/>
      </w:pPr>
      <w:r>
        <w:rPr>
          <w:b/>
          <w:i w:val="0"/>
          <w:sz w:val="17"/>
          <w:u w:val="none"/>
        </w:rPr>
        <w:t xml:space="preserve">Cloud &amp; Data Platforms: </w:t>
      </w:r>
      <w:r>
        <w:rPr>
          <w:b w:val="0"/>
          <w:i w:val="0"/>
          <w:sz w:val="17"/>
          <w:u w:val="none"/>
        </w:rPr>
        <w:t>AWS | GCP | Vertex AI | BigQuery | SageMaker | Bedrock | S3 | Neptune</w:t>
      </w:r>
    </w:p>
    <w:p>
      <w:pPr>
        <w:spacing w:before="0" w:after="0"/>
      </w:pPr>
      <w:r>
        <w:rPr>
          <w:b/>
          <w:i w:val="0"/>
          <w:sz w:val="17"/>
          <w:u w:val="none"/>
        </w:rPr>
        <w:t xml:space="preserve">Programming &amp; Analytics: </w:t>
      </w:r>
      <w:r>
        <w:rPr>
          <w:b w:val="0"/>
          <w:i w:val="0"/>
          <w:sz w:val="17"/>
          <w:u w:val="none"/>
        </w:rPr>
        <w:t>Python | SQL | Tableau | Pandas | NumPy | Jupyter | Elastic Stack | Splunk | Kafka</w:t>
      </w:r>
    </w:p>
    <w:p>
      <w:pPr>
        <w:spacing w:before="0" w:after="0"/>
      </w:pPr>
      <w:r>
        <w:rPr>
          <w:b/>
          <w:i w:val="0"/>
          <w:sz w:val="17"/>
          <w:u w:val="none"/>
        </w:rPr>
        <w:t xml:space="preserve">Data &amp; Systems Engineering: </w:t>
      </w:r>
      <w:r>
        <w:rPr>
          <w:b w:val="0"/>
          <w:i w:val="0"/>
          <w:sz w:val="17"/>
          <w:u w:val="none"/>
        </w:rPr>
        <w:t>Graph Analytics | Observability | Operational Intelligence | Entity Resolution | Data Modeling | Forecasting | Attribution Analytics</w:t>
      </w:r>
    </w:p>
    <w:p>
      <w:pPr>
        <w:spacing w:before="100" w:after="20"/>
        <w:pBdr>
          <w:bottom w:val="single" w:sz="4" w:space="1" w:color="auto"/>
        </w:pBdr>
      </w:pPr>
      <w:r>
        <w:rPr>
          <w:b/>
          <w:i w:val="0"/>
          <w:sz w:val="20"/>
          <w:u w:val="none"/>
        </w:rPr>
        <w:t>PROFESSIONAL EXPERIENCE</w:t>
      </w:r>
    </w:p>
    <w:p>
      <w:pPr>
        <w:spacing w:before="40" w:after="0"/>
      </w:pPr>
      <w:r>
        <w:rPr>
          <w:b/>
          <w:i w:val="0"/>
          <w:sz w:val="18"/>
          <w:u w:val="none"/>
        </w:rPr>
        <w:t>Principal Consultant | Daly Engineers LLC | Jan 2026 - Present</w:t>
      </w:r>
    </w:p>
    <w:p>
      <w:pPr>
        <w:spacing w:before="20" w:after="0"/>
      </w:pPr>
      <w:r>
        <w:rPr>
          <w:b/>
          <w:i w:val="0"/>
          <w:sz w:val="17"/>
          <w:u w:val="none"/>
        </w:rPr>
        <w:t>Consolidated Edison (via ABC Consulting)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Led analytical readiness assessment for Oracle/EBS and Maximo data migrated to BigQuery, establishing the foundation for cross-domain analytics across construction operations and financial systems.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automated profiling, type inference, duplicate detection, candidate key analysis, and cross-system join validation frameworks across 100+ source tables and millions of operational and financial records.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a phased analytical maturity roadmap adopted as the foundation for anomaly detection, construction analytics, and AI-enabled decision support initiatives.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Built a governed analytics assistant using Gemini, BigQuery, and tool-calling architectures that applied analyst rules and operational controls while maintaining predictable and auditable execution.</w:t>
      </w:r>
    </w:p>
    <w:p>
      <w:pPr>
        <w:spacing w:before="20" w:after="0"/>
      </w:pPr>
      <w:r>
        <w:rPr>
          <w:b/>
          <w:i w:val="0"/>
          <w:sz w:val="17"/>
          <w:u w:val="none"/>
        </w:rPr>
        <w:t>NBCUniversal (via Apex Systems)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Built AWS-based AI and graph analytics pipelines using SageMaker, Terraform, S3, and containerized workloads.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graph-ready service dependency datasets from API telemetry and operational metrics to support digital twin initiatives.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Evaluated graph analytics and graph machine learning approaches using Neptune, GraphStorm, Bedrock, and LangGraph for dependency analysis and operational intelligence.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Authored architecture and analytical readiness assessments identifying data and operational gaps affecting long-term digital twin objectives.</w:t>
      </w:r>
    </w:p>
    <w:p>
      <w:pPr>
        <w:spacing w:before="40" w:after="0"/>
      </w:pPr>
      <w:r>
        <w:rPr>
          <w:b/>
          <w:i w:val="0"/>
          <w:sz w:val="18"/>
          <w:u w:val="none"/>
        </w:rPr>
        <w:t>AI Instructor | SimpliLearn | October 2025 - Present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Delivered professional AI training across multi-month cohorts for software engineers, data scientists, and technical professionals through university- and enterprise-sponsored continuing education programs.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Taught transformer architectures, LLMs, RAG, agentic AI, multimodal AI, MCP, diffusion models, and enterprise AI governance.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hands-on demonstrations, Jupyter notebooks, and end-to-end applications covering modern AI workflows, evaluation techniques, and deployment considerations.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Mentored students on AI architecture, governance, implementation tradeoffs, and enterprise adoption strategies.</w:t>
      </w:r>
    </w:p>
    <w:p>
      <w:pPr>
        <w:spacing w:before="40" w:after="0"/>
      </w:pPr>
      <w:r>
        <w:rPr>
          <w:b/>
          <w:i w:val="0"/>
          <w:sz w:val="18"/>
          <w:u w:val="none"/>
        </w:rPr>
        <w:t>AI Instructor | Interview Kickstart | March 2025 - Present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Delivered AI and machine learning instruction for software engineering professionals pursuing advanced technical roles.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Taught practical applications of LLMs, RAG, agentic AI, and modern AI development workflows.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Mentored students on AI architecture, implementation patterns, and technology selection tradeoffs.</w:t>
      </w:r>
    </w:p>
    <w:p>
      <w:pPr>
        <w:spacing w:before="40" w:after="0"/>
      </w:pPr>
      <w:r>
        <w:rPr>
          <w:b/>
          <w:i w:val="0"/>
          <w:sz w:val="18"/>
          <w:u w:val="none"/>
        </w:rPr>
        <w:t>Data Scientist | Intuit (via The Cydio Group) | Apr 2025 - Jul 2025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Delivered analytics supporting business and operational decision-making for QuickBooks Capital.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Investigated attribution anomalies across customer acquisition funnels, marketing campaigns, and conversion pathways to improve measurement accuracy and identify emerging business trends.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Consolidated fragmented reporting into unified Tableau dashboards and automated executive reporting workflows using Python and SQL, reducing report preparation from days to hours.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Partnered with finance, marketing, and product stakeholders to translate attribution and performance data into actionable business recommendations.</w:t>
      </w:r>
    </w:p>
    <w:p>
      <w:pPr>
        <w:spacing w:before="40" w:after="0"/>
      </w:pPr>
      <w:r>
        <w:rPr>
          <w:b/>
          <w:i w:val="0"/>
          <w:sz w:val="18"/>
          <w:u w:val="none"/>
        </w:rPr>
        <w:t>Data Scientist | Meta | October 2021 - January 2025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Defined reliability KPIs and measurement frameworks for Meta FinTech, establishing leading indicators used to guide reliability planning, prioritization, and performance management.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forecasting and performance-management frameworks across business pillars and sub-pillars, translating engineering initiatives into projected reliability outcomes used for planning, goal setting, and leadership decision-making.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Built attribution frameworks linking incidents, alerts, defects, and operational metrics to engineering organizations and service ownership structures, enabling more accurate accountability and performance measurement.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Designed and developed the ReMon framework, enabling engineering teams to build comprehensive monitoring and alerting systems without requiring expertise in complex internal tooling; adopted across Meta FinTech, contributing to the automatic detection of more than 15 SEVs in 2024.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Delivered impact sizing, ROI, and risk exposure analyses supporting investment and prioritization decisions across platform reliability, privacy compliance, authentication, testing infrastructure, and data platform initiatives.</w:t>
      </w:r>
    </w:p>
    <w:p>
      <w:pPr>
        <w:spacing w:before="40" w:after="0"/>
      </w:pPr>
      <w:r>
        <w:rPr>
          <w:b/>
          <w:i w:val="0"/>
          <w:sz w:val="18"/>
          <w:u w:val="none"/>
        </w:rPr>
        <w:t>Data Scientist | Samsung Electronics (via Harvey Nash) | Dec 2020 - Oct 2021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and deployed gradient-boosting propensity models used to target digital marketing campaigns, increasing campaign conversions by 146% and campaign-attributed revenue by 229%.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Built customer sentiment analysis pipelines using NLTK and survey data to identify product and customer experience insights.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Automated audience segmentation and campaign targeting workflows, improving efficiency and scalability across digital marketing initiatives.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Improved marketing attribution and performance measurement capabilities through predictive modeling and analytics-driven decision support.</w:t>
      </w:r>
    </w:p>
    <w:p>
      <w:pPr>
        <w:spacing w:before="40" w:after="0"/>
      </w:pPr>
      <w:r>
        <w:rPr>
          <w:b/>
          <w:i w:val="0"/>
          <w:sz w:val="18"/>
          <w:u w:val="none"/>
        </w:rPr>
        <w:t>Head of Data Science | Facteus | Oct 2017 - Nov 2020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Led data science initiatives on a 30B+ transaction dataset, creating analytical products and market-intelligence capabilities through large-scale feature engineering, merchant intelligence, and consumer-spending analytics.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merchant, brand, industry, and storefront resolution methodologies that transformed cryptic payment-card transactions into business-identifiable entities, enabling accurate market intelligence across more than 1,700 businesses with greater than 99% transaction coverage.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Evaluated prospective data partnerships by assessing signal quality, coverage, and business value, supporting strategic investment and acquisition decisions.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Produced transaction-based industry analyses during the COVID-19 pandemic, identifying shifts in consumer behavior, regional economic impacts, and e-commerce adoption trends before traditional reporting sources became available.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Created data-driven reports and visualizations used by hedge funds, partners, and internal stakeholders to understand emerging market trends and business performance.</w:t>
      </w:r>
    </w:p>
    <w:p>
      <w:pPr>
        <w:spacing w:before="40" w:after="0"/>
      </w:pPr>
      <w:r>
        <w:rPr>
          <w:b/>
          <w:i w:val="0"/>
          <w:sz w:val="18"/>
          <w:u w:val="none"/>
        </w:rPr>
        <w:t>Expert SEO Solutions Architect | Nike (via Intersoft Inc.) | Nov 2016 - Sep 2017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Designed a scalable SEO and information-architecture framework for Nike's product discovery experience, balancing customer navigation paths with search-engine indexation requirements across a rapidly expanding product catalog.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canonical URL, redirect, and XML sitemap strategies that improved search visibility while preventing duplicate content, redirect conflicts, and circular routing issues.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Built Node.js proof-of-concept solutions demonstrating the feasibility and effectiveness of proposed SEO approaches, supporting adoption by business and engineering teams.</w:t>
      </w:r>
    </w:p>
    <w:p>
      <w:pPr>
        <w:spacing w:before="40" w:after="0"/>
      </w:pPr>
      <w:r>
        <w:rPr>
          <w:b/>
          <w:i w:val="0"/>
          <w:sz w:val="18"/>
          <w:u w:val="none"/>
        </w:rPr>
        <w:t>Senior Manager, Operations Analysis | Capital One | Jan 2012 - Dec 2016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predictive capacity-management models for customer-facing banking platforms, forecasting peak demand scenarios using customer-demand, temporal, and business-process drivers to support infrastructure planning and risk management.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Identified critical gaps in enterprise monitoring operations after discovering that major incidents were frequently detected by customer call channels rather than operational monitoring systems.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Conceived, designed, and led adoption of RITHM (Real-Time IT Health Monitoring), an operational intelligence platform that aggregated monitoring signals by business capability and system ownership, reducing major incident detection times from hours to minutes.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Secured executive sponsorship for enterprise monitoring modernization, expanding initial Splunk-based prototypes into a scalable Kafka and Elastic Stack solution aligned with Capital One's open-source strategy.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Partnered with CTO-level leadership to define enterprise monitoring strategy, operational health metrics, and reliability-improvement initiatives.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Awarded the Capital One Business Innovation Award for contributions to operational intelligence and enterprise monitoring transformation; presented work at internal and external industry conferences.</w:t>
      </w:r>
    </w:p>
    <w:p>
      <w:pPr>
        <w:spacing w:before="40" w:after="0"/>
      </w:pPr>
      <w:r>
        <w:rPr>
          <w:b/>
          <w:i w:val="0"/>
          <w:sz w:val="18"/>
          <w:u w:val="none"/>
        </w:rPr>
        <w:t>Senior Principal Systems Engineer / Program Manager | Raytheon | Mar 2005 - Dec 2011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Led systems engineering organizations of 40-50 engineers specializing in modeling, simulation, analysis, and advanced aerospace systems, providing technical leadership, career development, and proposal support for programs valued up to $50M.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Turned around an over-budget classified fixed-price technology program at approximately one-third completion by establishing execution plans, aligning engineering teams, and proactively managing technical and program risks; delivered the program under budget and nearly doubled the original profit target on a historically challenging delivery effort.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Served as Principal Investigator for advanced signal-generation and radar resource-management algorithms, leading research, simulation, flight testing, and operational deployment across multiple tactical and surveillance aircraft programs.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Developed a patented fuzzy-logic resource-management system (U.S. Patent, 2014) resulting from radar scheduling innovations deployed on major Department of Defense aircraft platforms.</w:t>
      </w:r>
    </w:p>
    <w:p>
      <w:pPr>
        <w:spacing w:before="100" w:after="20"/>
        <w:pBdr>
          <w:bottom w:val="single" w:sz="4" w:space="1" w:color="auto"/>
        </w:pBdr>
      </w:pPr>
      <w:r>
        <w:rPr>
          <w:b/>
          <w:i w:val="0"/>
          <w:sz w:val="20"/>
          <w:u w:val="none"/>
        </w:rPr>
        <w:t>SELECTED PROJECTS</w:t>
      </w:r>
    </w:p>
    <w:p>
      <w:pPr>
        <w:spacing w:before="20" w:after="0"/>
      </w:pPr>
      <w:r>
        <w:rPr>
          <w:b/>
          <w:i w:val="0"/>
          <w:sz w:val="17"/>
          <w:u w:val="none"/>
        </w:rPr>
        <w:t>GraphRAG Engine &amp; LoRA Coverage Assistant | GitHub | 2025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Built a GraphRAG system for multi-hop benefits reasoning with fully traceable retrieval paths across entities, clauses, and supporting evidence.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Fine-tuned a LoRA adapter on a 7B open-source LLM to enforce a strict JSON schema (decision/reason/disclaimer) for reliable downstream automation.</w:t>
      </w:r>
    </w:p>
    <w:p>
      <w:pPr>
        <w:spacing w:before="20" w:after="0"/>
      </w:pPr>
      <w:r>
        <w:rPr>
          <w:b/>
          <w:i w:val="0"/>
          <w:sz w:val="17"/>
          <w:u w:val="none"/>
        </w:rPr>
        <w:t>Agent-to-Agent Protocol MVPs | GitHub | 2026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Agent Olympics: built a small evaluation runner that benchmarks a generalist agent vs discovered specialists across three task categories with explicit scoring criteria and summary reporting.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AI PEMDAS: built an instrumented coordination workflow where an evaluator routes sub-steps to ADD vs MULT agents and logs calls for end-to-end traceability (FastAPI JSON-RPC).</w:t>
      </w:r>
    </w:p>
    <w:p>
      <w:pPr>
        <w:spacing w:before="20" w:after="0"/>
      </w:pPr>
      <w:r>
        <w:rPr>
          <w:b/>
          <w:i w:val="0"/>
          <w:sz w:val="17"/>
          <w:u w:val="none"/>
        </w:rPr>
        <w:t>Agentic Multimodal Orchestrator | GitHub | 2025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Orchestrated structured retrieval, layout planning, and diffusion prompting to generate data-driven posters/maps with repeatable, template-based workflows.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Implemented template constraints and parameterized prompts to ensure consistency across runs.</w:t>
      </w:r>
    </w:p>
    <w:p>
      <w:pPr>
        <w:spacing w:before="100" w:after="20"/>
        <w:pBdr>
          <w:bottom w:val="single" w:sz="4" w:space="1" w:color="auto"/>
        </w:pBdr>
      </w:pPr>
      <w:r>
        <w:rPr>
          <w:b/>
          <w:i w:val="0"/>
          <w:sz w:val="20"/>
          <w:u w:val="none"/>
        </w:rPr>
        <w:t>EDUCATION</w:t>
      </w:r>
    </w:p>
    <w:p>
      <w:pPr>
        <w:spacing w:before="0" w:after="0"/>
      </w:pPr>
      <w:r>
        <w:rPr>
          <w:b/>
          <w:i w:val="0"/>
          <w:sz w:val="17"/>
          <w:u w:val="none"/>
        </w:rPr>
        <w:t xml:space="preserve">MBA | (UCLA Anderson School of Management): </w:t>
      </w:r>
      <w:r>
        <w:rPr>
          <w:b w:val="0"/>
          <w:i w:val="0"/>
          <w:sz w:val="17"/>
          <w:u w:val="none"/>
        </w:rPr>
        <w:t>Top Honors | GPA: 3.9</w:t>
      </w:r>
    </w:p>
    <w:p>
      <w:pPr>
        <w:spacing w:before="0" w:after="0"/>
      </w:pPr>
      <w:r>
        <w:rPr>
          <w:b/>
          <w:i w:val="0"/>
          <w:sz w:val="17"/>
          <w:u w:val="none"/>
        </w:rPr>
        <w:t xml:space="preserve">M.S., Applied Statistics | (Rochester Institute of Technology): </w:t>
      </w:r>
      <w:r>
        <w:rPr>
          <w:b w:val="0"/>
          <w:i w:val="0"/>
          <w:sz w:val="17"/>
          <w:u w:val="none"/>
        </w:rPr>
        <w:t>GPA: 3.9</w:t>
      </w:r>
    </w:p>
    <w:p>
      <w:pPr>
        <w:spacing w:before="0" w:after="0"/>
      </w:pPr>
      <w:r>
        <w:rPr>
          <w:b/>
          <w:i w:val="0"/>
          <w:sz w:val="17"/>
          <w:u w:val="none"/>
        </w:rPr>
        <w:t xml:space="preserve">M.S., Electrical Engineering | (University of Washington): </w:t>
      </w:r>
      <w:r>
        <w:rPr>
          <w:b w:val="0"/>
          <w:i w:val="0"/>
          <w:sz w:val="17"/>
          <w:u w:val="none"/>
        </w:rPr>
        <w:t>GPA: 3.7</w:t>
      </w:r>
    </w:p>
    <w:p>
      <w:pPr>
        <w:spacing w:before="0" w:after="0"/>
      </w:pPr>
      <w:r>
        <w:rPr>
          <w:b/>
          <w:i w:val="0"/>
          <w:sz w:val="17"/>
          <w:u w:val="none"/>
        </w:rPr>
        <w:t xml:space="preserve">B.S., Physics (Minor: Mathematics) | (Humboldt State University): </w:t>
      </w:r>
      <w:r>
        <w:rPr>
          <w:b w:val="0"/>
          <w:i w:val="0"/>
          <w:sz w:val="17"/>
          <w:u w:val="none"/>
        </w:rPr>
        <w:t>GPA: 3.4</w:t>
      </w:r>
    </w:p>
    <w:p>
      <w:pPr>
        <w:spacing w:before="100" w:after="20"/>
        <w:pBdr>
          <w:bottom w:val="single" w:sz="4" w:space="1" w:color="auto"/>
        </w:pBdr>
      </w:pPr>
      <w:r>
        <w:rPr>
          <w:b/>
          <w:i w:val="0"/>
          <w:sz w:val="20"/>
          <w:u w:val="none"/>
        </w:rPr>
        <w:t>PATENTS &amp; RECOGNITION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Lead Inventor, U.S. Patent #8635622: Method and System for Resource Management Using Fuzzy Logic Timeline Filling (2014)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Capital One Business Technology Innovation Award (2014)</w:t>
      </w:r>
    </w:p>
    <w:p>
      <w:pPr>
        <w:pStyle w:val="ListBullet"/>
        <w:spacing w:after="0"/>
        <w:ind w:left="259" w:hanging="173"/>
      </w:pPr>
      <w:r>
        <w:rPr>
          <w:b w:val="0"/>
          <w:i w:val="0"/>
          <w:sz w:val="17"/>
          <w:u w:val="none"/>
        </w:rPr>
        <w:t>Conference Chair &amp; Speaker - Customer Analytics Innovation Summit (2016)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