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05</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Proposed RSMo</w:t>
      </w:r>
    </w:p>
    <w:p>
      <w:pPr>
        <w:spacing w:after="240"/>
      </w:pPr>
      <w:r>
        <w:rPr>
          <w:b/>
          <w:bCs/>
          <w:color w:val="0D1220"/>
          <w:sz w:val="52"/>
          <w:szCs w:val="52"/>
        </w:rPr>
        <w:t xml:space="preserve">Statute Language</w:t>
      </w:r>
    </w:p>
    <w:p>
      <w:pPr>
        <w:spacing w:after="400"/>
      </w:pPr>
      <w:r>
        <w:rPr>
          <w:color w:val="1F2744"/>
          <w:sz w:val="26"/>
          <w:szCs w:val="26"/>
        </w:rPr>
        <w:t xml:space="preserve">Draft amendments to Missouri Revised Statutes enabling metric reporting authority and de-identified data sharing. Educational framing only — not legal drafting.</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Missouri Legislative Research · Judiciary Committee Staff</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CRITICAL DISCLAIMER</w:t>
      </w:r>
    </w:p>
    <w:p>
      <w:pPr>
        <w:pStyle w:val="Heading1"/>
      </w:pPr>
      <w:r>
        <w:t xml:space="preserve">Read This First</w:t>
      </w:r>
    </w:p>
    <w:p>
      <w:pPr>
        <w:spacing w:after="160"/>
      </w:pPr>
      <w:r>
        <w:t xml:space="preserve">The language below is EDUCATIONAL AND POLICY FRAMING ONLY. It is not legal drafting. It is not a substitute for work by Missouri-licensed legislative counsel. Section numbering reflects the current RSMo structure as publicly available but should be verified with Missouri Legislative Research before any bill is introduced. CoTrackPro does not hold itself out as practicing law in Missouri or anywhere else.</w:t>
      </w:r>
    </w:p>
    <w:p>
      <w:pPr>
        <w:spacing w:after="160"/>
      </w:pPr>
      <w:r>
        <w:t xml:space="preserve">The intent of publishing this draft is to enable stakeholders to evaluate the shape and scope of potential statutory authorization. It is not intended for use in any legislative proceeding without substantial further work by qualified legislative counsel.</w:t>
      </w:r>
    </w:p>
    <w:p>
      <w:r>
        <w:br w:type="page"/>
      </w:r>
    </w:p>
    <w:p>
      <w:pPr>
        <w:spacing w:after="40" w:before="240"/>
      </w:pPr>
      <w:r>
        <w:rPr>
          <w:b/>
          <w:bCs/>
          <w:color w:val="B8371F"/>
          <w:spacing w:val="40"/>
          <w:sz w:val="18"/>
          <w:szCs w:val="18"/>
        </w:rPr>
        <w:t xml:space="preserve">PROPOSED § 476.058</w:t>
      </w:r>
    </w:p>
    <w:p>
      <w:pPr>
        <w:pStyle w:val="Heading1"/>
      </w:pPr>
      <w:r>
        <w:t xml:space="preserve">Family Court Metric Reporting Authority</w:t>
      </w:r>
    </w:p>
    <w:p>
      <w:pPr>
        <w:spacing w:after="160"/>
      </w:pPr>
      <w:r>
        <w:t xml:space="preserve">This section establishes OSCA authority to develop and publish standardized family court metrics without mandating judge-level or individual-case publication. Numbering note: RSMo § 476.058 already exists (court personnel; state court administration revolving fund), so legislative counsel would assign the final section number.</w:t>
      </w:r>
    </w:p>
    <w:p>
      <w:pPr>
        <w:pStyle w:val="Heading3"/>
      </w:pPr>
      <w:r>
        <w:t xml:space="preserve">Draft Language</w:t>
      </w:r>
    </w:p>
    <w:p>
      <w:pPr>
        <w:pBdr>
          <w:left w:val="single" w:color="0D1220" w:sz="24" w:space="12"/>
        </w:pBdr>
        <w:shd w:fill="F5EFE5" w:val="clear"/>
        <w:spacing w:after="200" w:before="200"/>
        <w:ind w:left="360" w:right="240"/>
      </w:pPr>
      <w:r>
        <w:rPr>
          <w:i w:val="false"/>
          <w:iCs w:val="false"/>
          <w:sz w:val="22"/>
          <w:szCs w:val="22"/>
        </w:rPr>
        <w:t xml:space="preserve">The Office of State Courts Administrator shall develop, maintain, and publish annually a set of standardized family court operational and outcome metrics covering case flow, disposition, and enforcement. Published metrics shall be aggregated at the circuit or county level, shall employ de-identification standards consistent with applicable federal law, and shall include methodology, confidence intervals, and known limitations for each metric. The Office shall consult with the judicial conference and with a stakeholder advisory board regarding methodology and priorities.</w:t>
      </w:r>
    </w:p>
    <w:p>
      <w:pPr>
        <w:pStyle w:val="Heading3"/>
      </w:pPr>
      <w:r>
        <w:t xml:space="preserve">Drafting Notes</w:t>
      </w:r>
    </w:p>
    <w:p>
      <w:pPr>
        <w:pStyle w:val="ListParagraph"/>
        <w:numPr>
          <w:ilvl w:val="0"/>
          <w:numId w:val="2"/>
        </w:numPr>
        <w:spacing w:after="80"/>
      </w:pPr>
      <w:r>
        <w:t xml:space="preserve">"Standardized" avoids specifying individual metrics in statute, allowing the methodology board to update the set over time.</w:t>
      </w:r>
    </w:p>
    <w:p>
      <w:pPr>
        <w:pStyle w:val="ListParagraph"/>
        <w:numPr>
          <w:ilvl w:val="0"/>
          <w:numId w:val="2"/>
        </w:numPr>
        <w:spacing w:after="80"/>
      </w:pPr>
      <w:r>
        <w:t xml:space="preserve">"At the circuit or county level" explicitly forecloses sub-circuit granularity unless amended.</w:t>
      </w:r>
    </w:p>
    <w:p>
      <w:pPr>
        <w:pStyle w:val="ListParagraph"/>
        <w:numPr>
          <w:ilvl w:val="0"/>
          <w:numId w:val="2"/>
        </w:numPr>
        <w:spacing w:after="80"/>
      </w:pPr>
      <w:r>
        <w:t xml:space="preserve">The methodology, confidence intervals, and limitations requirement creates durable good-practice obligations.</w:t>
      </w:r>
    </w:p>
    <w:p>
      <w:pPr>
        <w:pStyle w:val="ListParagraph"/>
        <w:numPr>
          <w:ilvl w:val="0"/>
          <w:numId w:val="2"/>
        </w:numPr>
        <w:spacing w:after="80"/>
      </w:pPr>
      <w:r>
        <w:t xml:space="preserve">The consultation requirement with the judicial conference respects judicial independence.</w:t>
      </w:r>
    </w:p>
    <w:p>
      <w:pPr>
        <w:spacing w:after="40" w:before="240"/>
      </w:pPr>
      <w:r>
        <w:rPr>
          <w:b/>
          <w:bCs/>
          <w:color w:val="B8371F"/>
          <w:spacing w:val="40"/>
          <w:sz w:val="18"/>
          <w:szCs w:val="18"/>
        </w:rPr>
        <w:t xml:space="preserve">PROPOSED § 452.317</w:t>
      </w:r>
    </w:p>
    <w:p>
      <w:pPr>
        <w:pStyle w:val="Heading1"/>
      </w:pPr>
      <w:r>
        <w:t xml:space="preserve">Parenting Plan Compliance Data · Voluntary Reporting</w:t>
      </w:r>
    </w:p>
    <w:p>
      <w:pPr>
        <w:spacing w:after="160"/>
      </w:pPr>
      <w:r>
        <w:t xml:space="preserve">This section enables voluntary user contribution of parenting time compliance data and — critically — provides an evidentiary shield preventing adversarial weaponization of a party's own compliance logs in litigation.</w:t>
      </w:r>
    </w:p>
    <w:p>
      <w:pPr>
        <w:pStyle w:val="Heading3"/>
      </w:pPr>
      <w:r>
        <w:t xml:space="preserve">Draft Language</w:t>
      </w:r>
    </w:p>
    <w:p>
      <w:pPr>
        <w:pBdr>
          <w:left w:val="single" w:color="0D1220" w:sz="24" w:space="12"/>
        </w:pBdr>
        <w:shd w:fill="F5EFE5" w:val="clear"/>
        <w:spacing w:after="200" w:before="200"/>
        <w:ind w:left="360" w:right="240"/>
      </w:pPr>
      <w:r>
        <w:rPr>
          <w:i w:val="false"/>
          <w:iCs w:val="false"/>
          <w:sz w:val="22"/>
          <w:szCs w:val="22"/>
        </w:rPr>
        <w:t xml:space="preserve">Parties to a dissolution, paternity, or modification action involving minor children may voluntarily submit documented parenting time compliance data to a platform designated by the Office of State Courts Administrator. Such data shall be aggregated, de-identified, and published only at the county level. Individual compliance data shall not be admissible as evidence in any proceeding without a party's express written consent and shall not create a rebuttable presumption of compliance or non-compliance.</w:t>
      </w:r>
    </w:p>
    <w:p>
      <w:pPr>
        <w:pStyle w:val="Heading3"/>
      </w:pPr>
      <w:r>
        <w:t xml:space="preserve">Drafting Notes</w:t>
      </w:r>
    </w:p>
    <w:p>
      <w:pPr>
        <w:pStyle w:val="ListParagraph"/>
        <w:numPr>
          <w:ilvl w:val="0"/>
          <w:numId w:val="2"/>
        </w:numPr>
        <w:spacing w:after="80"/>
      </w:pPr>
      <w:r>
        <w:t xml:space="preserve">The evidentiary shield is the critical protection. Without it, any tool that helps a parent document compliance could be subpoenaed and used against them.</w:t>
      </w:r>
    </w:p>
    <w:p>
      <w:pPr>
        <w:pStyle w:val="ListParagraph"/>
        <w:numPr>
          <w:ilvl w:val="0"/>
          <w:numId w:val="2"/>
        </w:numPr>
        <w:spacing w:after="80"/>
      </w:pPr>
      <w:r>
        <w:t xml:space="preserve">Numbering note: RSMo § 452.317 already exists (termination of insurance prohibited), so legislative counsel would assign the final section number.</w:t>
      </w:r>
    </w:p>
    <w:p>
      <w:pPr>
        <w:pStyle w:val="ListParagraph"/>
        <w:numPr>
          <w:ilvl w:val="0"/>
          <w:numId w:val="2"/>
        </w:numPr>
        <w:spacing w:after="80"/>
      </w:pPr>
      <w:r>
        <w:t xml:space="preserve">"Express written consent" is a higher bar than verbal consent and requires specific identification of what data is being waived.</w:t>
      </w:r>
    </w:p>
    <w:p>
      <w:pPr>
        <w:pStyle w:val="ListParagraph"/>
        <w:numPr>
          <w:ilvl w:val="0"/>
          <w:numId w:val="2"/>
        </w:numPr>
        <w:spacing w:after="80"/>
      </w:pPr>
      <w:r>
        <w:t xml:space="preserve">The no-presumption clause prevents courts from drawing inferences from a party's participation or non-participation.</w:t>
      </w:r>
    </w:p>
    <w:p>
      <w:r>
        <w:br w:type="page"/>
      </w:r>
    </w:p>
    <w:p>
      <w:pPr>
        <w:spacing w:after="40" w:before="240"/>
      </w:pPr>
      <w:r>
        <w:rPr>
          <w:b/>
          <w:bCs/>
          <w:color w:val="B8371F"/>
          <w:spacing w:val="40"/>
          <w:sz w:val="18"/>
          <w:szCs w:val="18"/>
        </w:rPr>
        <w:t xml:space="preserve">PROPOSED § 476.059</w:t>
      </w:r>
    </w:p>
    <w:p>
      <w:pPr>
        <w:pStyle w:val="Heading1"/>
      </w:pPr>
      <w:r>
        <w:t xml:space="preserve">Research Data Use Agreement Authority</w:t>
      </w:r>
    </w:p>
    <w:p>
      <w:pPr>
        <w:spacing w:after="160"/>
      </w:pPr>
      <w:r>
        <w:t xml:space="preserve">This section opens the Tier B research channel by authorizing OSCA to enter DUAs with qualified institutions. The re-identification prohibition is modeled on HIPAA Safe Harbor at 45 CFR § 164.514.</w:t>
      </w:r>
    </w:p>
    <w:p>
      <w:pPr>
        <w:pStyle w:val="Heading3"/>
      </w:pPr>
      <w:r>
        <w:t xml:space="preserve">Draft Language</w:t>
      </w:r>
    </w:p>
    <w:p>
      <w:pPr>
        <w:pBdr>
          <w:left w:val="single" w:color="0D1220" w:sz="24" w:space="12"/>
        </w:pBdr>
        <w:shd w:fill="F5EFE5" w:val="clear"/>
        <w:spacing w:after="200" w:before="200"/>
        <w:ind w:left="360" w:right="240"/>
      </w:pPr>
      <w:r>
        <w:rPr>
          <w:i w:val="false"/>
          <w:iCs w:val="false"/>
          <w:sz w:val="22"/>
          <w:szCs w:val="22"/>
        </w:rPr>
        <w:t xml:space="preserve">The Office of State Courts Administrator may enter into data use agreements with accredited academic institutions or nonprofit research organizations to provide access to de-identified case-level data for research purposes. All such agreements shall require IRB approval, publication of methodology, and a prohibition on re-identification attempts, with penalties for violation including permanent ineligibility for future data access.</w:t>
      </w:r>
    </w:p>
    <w:p>
      <w:pPr>
        <w:pStyle w:val="Heading3"/>
      </w:pPr>
      <w:r>
        <w:t xml:space="preserve">Drafting Notes</w:t>
      </w:r>
    </w:p>
    <w:p>
      <w:pPr>
        <w:pStyle w:val="ListParagraph"/>
        <w:numPr>
          <w:ilvl w:val="0"/>
          <w:numId w:val="2"/>
        </w:numPr>
        <w:spacing w:after="80"/>
      </w:pPr>
      <w:r>
        <w:t xml:space="preserve">"May" rather than "shall" preserves OSCA discretion to decline applications.</w:t>
      </w:r>
    </w:p>
    <w:p>
      <w:pPr>
        <w:pStyle w:val="ListParagraph"/>
        <w:numPr>
          <w:ilvl w:val="0"/>
          <w:numId w:val="2"/>
        </w:numPr>
        <w:spacing w:after="80"/>
      </w:pPr>
      <w:r>
        <w:t xml:space="preserve">The accredited/nonprofit limitation prevents commercial exploitation of judicial data.</w:t>
      </w:r>
    </w:p>
    <w:p>
      <w:pPr>
        <w:pStyle w:val="ListParagraph"/>
        <w:numPr>
          <w:ilvl w:val="0"/>
          <w:numId w:val="2"/>
        </w:numPr>
        <w:spacing w:after="80"/>
      </w:pPr>
      <w:r>
        <w:t xml:space="preserve">The IRB and methodology publication requirements ensure research integrity.</w:t>
      </w:r>
    </w:p>
    <w:p>
      <w:pPr>
        <w:pStyle w:val="ListParagraph"/>
        <w:numPr>
          <w:ilvl w:val="0"/>
          <w:numId w:val="2"/>
        </w:numPr>
        <w:spacing w:after="80"/>
      </w:pPr>
      <w:r>
        <w:t xml:space="preserve">Permanent revocation as penalty provides credible deterrence without requiring criminal referral.</w:t>
      </w:r>
    </w:p>
    <w:p>
      <w:pPr>
        <w:spacing w:after="40" w:before="240"/>
      </w:pPr>
      <w:r>
        <w:rPr>
          <w:b/>
          <w:bCs/>
          <w:color w:val="B8371F"/>
          <w:spacing w:val="40"/>
          <w:sz w:val="18"/>
          <w:szCs w:val="18"/>
        </w:rPr>
        <w:t xml:space="preserve">PROPOSED § 455.085 (NEW SUBSECTION)</w:t>
      </w:r>
    </w:p>
    <w:p>
      <w:pPr>
        <w:pStyle w:val="Heading1"/>
      </w:pPr>
      <w:r>
        <w:t xml:space="preserve">Protective Order Data Confidentiality</w:t>
      </w:r>
    </w:p>
    <w:p>
      <w:pPr>
        <w:spacing w:after="160"/>
      </w:pPr>
      <w:r>
        <w:t xml:space="preserve">This section adds explicit VAWA-aligned suppression rules for protective order data at small geographic granularity, preventing even well-intentioned transparency from endangering survivors.</w:t>
      </w:r>
    </w:p>
    <w:p>
      <w:pPr>
        <w:pStyle w:val="Heading3"/>
      </w:pPr>
      <w:r>
        <w:t xml:space="preserve">Draft Language</w:t>
      </w:r>
    </w:p>
    <w:p>
      <w:pPr>
        <w:pBdr>
          <w:left w:val="single" w:color="0D1220" w:sz="24" w:space="12"/>
        </w:pBdr>
        <w:shd w:fill="F5EFE5" w:val="clear"/>
        <w:spacing w:after="200" w:before="200"/>
        <w:ind w:left="360" w:right="240"/>
      </w:pPr>
      <w:r>
        <w:rPr>
          <w:i w:val="false"/>
          <w:iCs w:val="false"/>
          <w:sz w:val="22"/>
          <w:szCs w:val="22"/>
        </w:rPr>
        <w:t xml:space="preserve">Notwithstanding any other provision of this chapter, data concerning protective orders issued under this chapter shall not be published at any geographic granularity that would permit the re-identification of petitioners. The Office of State Courts Administrator shall apply a minimum suppression threshold of twenty-five protective order petitions per reporting period per geographic unit.</w:t>
      </w:r>
    </w:p>
    <w:p>
      <w:pPr>
        <w:pStyle w:val="Heading3"/>
      </w:pPr>
      <w:r>
        <w:t xml:space="preserve">Drafting Notes</w:t>
      </w:r>
    </w:p>
    <w:p>
      <w:pPr>
        <w:pStyle w:val="ListParagraph"/>
        <w:numPr>
          <w:ilvl w:val="0"/>
          <w:numId w:val="2"/>
        </w:numPr>
        <w:spacing w:after="80"/>
      </w:pPr>
      <w:r>
        <w:t xml:space="preserve">The "notwithstanding any other provision" clause ensures this section controls over conflicting transparency provisions.</w:t>
      </w:r>
    </w:p>
    <w:p>
      <w:pPr>
        <w:pStyle w:val="ListParagraph"/>
        <w:numPr>
          <w:ilvl w:val="0"/>
          <w:numId w:val="2"/>
        </w:numPr>
        <w:spacing w:after="80"/>
      </w:pPr>
      <w:r>
        <w:t xml:space="preserve">The 25-petition floor is specifically calibrated for DV contexts where smaller thresholds could endanger survivors.</w:t>
      </w:r>
    </w:p>
    <w:p>
      <w:pPr>
        <w:pStyle w:val="ListParagraph"/>
        <w:numPr>
          <w:ilvl w:val="0"/>
          <w:numId w:val="2"/>
        </w:numPr>
        <w:spacing w:after="80"/>
      </w:pPr>
      <w:r>
        <w:t xml:space="preserve">"Geographic granularity" covers county, zip, and any other spatial aggregation.</w:t>
      </w:r>
    </w:p>
    <w:p>
      <w:pPr>
        <w:pStyle w:val="ListParagraph"/>
        <w:numPr>
          <w:ilvl w:val="0"/>
          <w:numId w:val="2"/>
        </w:numPr>
        <w:spacing w:after="80"/>
      </w:pPr>
      <w:r>
        <w:t xml:space="preserve">Explicit statutory grounding for the suppression provides defensive posture against public-records litigation seeking lower thresholds.</w:t>
      </w:r>
    </w:p>
    <w:p>
      <w:pPr>
        <w:spacing w:after="40" w:before="240"/>
      </w:pPr>
      <w:r>
        <w:rPr>
          <w:b/>
          <w:bCs/>
          <w:color w:val="B8371F"/>
          <w:spacing w:val="40"/>
          <w:sz w:val="18"/>
          <w:szCs w:val="18"/>
        </w:rPr>
        <w:t xml:space="preserve">SEQUENCING</w:t>
      </w:r>
    </w:p>
    <w:p>
      <w:pPr>
        <w:pStyle w:val="Heading1"/>
      </w:pPr>
      <w:r>
        <w:t xml:space="preserve">When to Introduce These Sections</w:t>
      </w:r>
    </w:p>
    <w:p>
      <w:pPr>
        <w:spacing w:after="160"/>
      </w:pPr>
      <w:r>
        <w:t xml:space="preserve">These draft sections should NOT be introduced as a bill until the pilot is live and generating data. Month 31-36 of the pilot is the natural window, after at least two peer-reviewed publications and one national conference presentation have established the framework's credibility with technical audiences.</w:t>
      </w:r>
    </w:p>
    <w:p>
      <w:pPr>
        <w:spacing w:after="160"/>
      </w:pPr>
      <w:r>
        <w:t xml:space="preserve">Introducing earlier risks binding OSCA to a specific framework before the pilot demonstrates its value. It also risks stakeholder pushback being registered in statute before the pilot has created the informational basis for informed debate.</w:t>
      </w:r>
    </w:p>
    <w:p>
      <w:pPr>
        <w:spacing w:after="160"/>
      </w:pPr>
      <w:r>
        <w:t xml:space="preserve">The Executive Summary (Document 00) explicitly states: "We are not asking for any new statutory authority before the pilot begins." This document exists to support later legislative work, not to rush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05 · PROPOSED RSMO LANGUAGE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2026-04-20T23:18:42.685Z</dcterms:created>
  <dcterms:modified xsi:type="dcterms:W3CDTF">2026-04-20T23:18:42.685Z</dcterms:modified>
</cp:coreProperties>
</file>

<file path=docProps/custom.xml><?xml version="1.0" encoding="utf-8"?>
<Properties xmlns="http://schemas.openxmlformats.org/officeDocument/2006/custom-properties" xmlns:vt="http://schemas.openxmlformats.org/officeDocument/2006/docPropsVTypes"/>
</file>