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CC-02</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Literature Review</w:t>
      </w:r>
    </w:p>
    <w:p>
      <w:pPr>
        <w:spacing w:after="240"/>
      </w:pPr>
      <w:r>
        <w:rPr>
          <w:b/>
          <w:bCs/>
          <w:color w:val="0D1220"/>
          <w:sz w:val="52"/>
          <w:szCs w:val="52"/>
        </w:rPr>
        <w:t xml:space="preserve">&amp; Validated Instruments</w:t>
      </w:r>
    </w:p>
    <w:p>
      <w:pPr>
        <w:spacing w:after="400"/>
      </w:pPr>
      <w:r>
        <w:rPr>
          <w:color w:val="1F2744"/>
          <w:sz w:val="26"/>
          <w:szCs w:val="26"/>
        </w:rPr>
        <w:t xml:space="preserve">The research foundation for the Catalog's treatment of coercive control and manufactured conflict, plus a crosswalk to validated measurement instruments already in clinical use.</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Methodology Board · Academic Partners · Clinical Advisors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This document proposes framing and methodology for the Catalog's treatment of coercive control and manufactured conflict. It is a technical draft prepared by a product author who is not a coercive-control clinician or a survivor advocate. Before any content here becomes operational, it requires review and revision by: (1) the Missouri Coalition Against Domestic and Sexual Violence or an equivalent advocacy partner, (2) a licensed clinician with coercive-control expertise, and (3) a survivor-led review panel. Treat as conversation material, not as adopted methodology.</w:t>
      </w:r>
    </w:p>
    <w:p>
      <w:pPr>
        <w:spacing w:after="40" w:before="240"/>
      </w:pPr>
      <w:r>
        <w:rPr>
          <w:b/>
          <w:bCs/>
          <w:color w:val="B8371F"/>
          <w:spacing w:val="40"/>
          <w:sz w:val="18"/>
          <w:szCs w:val="18"/>
        </w:rPr>
        <w:t xml:space="preserve">PURPOSE</w:t>
      </w:r>
    </w:p>
    <w:p>
      <w:pPr>
        <w:pStyle w:val="Heading1"/>
      </w:pPr>
      <w:r>
        <w:t xml:space="preserve">Grounding, Not Innovation</w:t>
      </w:r>
    </w:p>
    <w:p>
      <w:pPr>
        <w:spacing w:after="160"/>
      </w:pPr>
      <w:r>
        <w:t xml:space="preserve">The Catalog does not propose to invent measurement of coercive control. A substantial research literature and a set of validated instruments already exist. The Catalog's contribution is to make existing measurement operational at jurisdictional scale, to integrate it with family court case data, and to do so with privacy and survivor-safety architecture the existing instruments were not designed to handle.</w:t>
      </w:r>
    </w:p>
    <w:p>
      <w:pPr>
        <w:spacing w:after="160"/>
      </w:pPr>
      <w:r>
        <w:t xml:space="preserve">This document reviews the research literature the Catalog draws on, surveys validated instruments the Catalog integrates with, and documents the methodological choices that shape how the Catalog measures phenomena that are already well-understood clinically.</w:t>
      </w:r>
    </w:p>
    <w:p>
      <w:r>
        <w:br w:type="page"/>
      </w:r>
    </w:p>
    <w:p>
      <w:pPr>
        <w:spacing w:after="40" w:before="240"/>
      </w:pPr>
      <w:r>
        <w:rPr>
          <w:b/>
          <w:bCs/>
          <w:color w:val="B8371F"/>
          <w:spacing w:val="40"/>
          <w:sz w:val="18"/>
          <w:szCs w:val="18"/>
        </w:rPr>
        <w:t xml:space="preserve">SECTION 1</w:t>
      </w:r>
    </w:p>
    <w:p>
      <w:pPr>
        <w:pStyle w:val="Heading1"/>
      </w:pPr>
      <w:r>
        <w:t xml:space="preserve">Foundational Literature</w:t>
      </w:r>
    </w:p>
    <w:p>
      <w:pPr>
        <w:pStyle w:val="Heading3"/>
      </w:pPr>
      <w:r>
        <w:t xml:space="preserve">1.1 Coercive Control (Stark, 2007; Stark &amp; Hester, 2019)</w:t>
      </w:r>
    </w:p>
    <w:p>
      <w:pPr>
        <w:spacing w:after="160"/>
      </w:pPr>
      <w:r>
        <w:t xml:space="preserve">Evan Stark's 2007 monograph "Coercive Control: How Men Entrap Women in Personal Life" established the conceptual and legal framework the Catalog adopts. Stark's 2019 update with Marianne Hester extends the frame to contemporary technology-facilitated coercion and to state responses (including family courts). The Catalog's Asymmetry Principle is a direct descendant of Stark's argument that coercive control is a liberty offense rather than an assault offense.</w:t>
      </w:r>
    </w:p>
    <w:p>
      <w:pPr>
        <w:spacing w:after="160"/>
      </w:pPr>
      <w:r>
        <w:t xml:space="preserve">Key Catalog implications from this literature: discrete-incident measurement undercounts; liberty-based framing matters for policy interpretation; technology (including platforms like CoTrackPro) can be part of both the pattern and the resistance.</w:t>
      </w:r>
    </w:p>
    <w:p>
      <w:pPr>
        <w:pStyle w:val="Heading3"/>
      </w:pPr>
      <w:r>
        <w:t xml:space="preserve">1.2 Children in Coercive-Control Contexts (Katz, 2022)</w:t>
      </w:r>
    </w:p>
    <w:p>
      <w:pPr>
        <w:spacing w:after="160"/>
      </w:pPr>
      <w:r>
        <w:t xml:space="preserve">Emma Katz's "Coercive Control in Children's and Mothers' Lives" (Oxford, 2022) demonstrates empirically that children are direct targets and direct experiencers of coercive control, not merely witnesses. This has specific implications for the Catalog's Child role metrics — particularly Child Wellbeing Self-Report (c-wellbeing) and the new CC-specific child-impact metrics introduced in Document CC-04.</w:t>
      </w:r>
    </w:p>
    <w:p>
      <w:pPr>
        <w:spacing w:after="160"/>
      </w:pPr>
      <w:r>
        <w:t xml:space="preserve">Key Catalog implications: children's self-report data requires protections that go beyond standard research ethics; child-targeted control tactics are measurable but require direct assessment rather than parent proxy report; cross-household routine disruption (c-routine) can itself be a coercive tactic used against the non-controlling parent.</w:t>
      </w:r>
    </w:p>
    <w:p>
      <w:pPr>
        <w:pStyle w:val="Heading3"/>
      </w:pPr>
      <w:r>
        <w:t xml:space="preserve">1.3 Post-Separation Coercive Control (Hardesty et al., 2015-2023)</w:t>
      </w:r>
    </w:p>
    <w:p>
      <w:pPr>
        <w:spacing w:after="160"/>
      </w:pPr>
      <w:r>
        <w:t xml:space="preserve">Jennifer Hardesty's research program established empirically that coercive control frequently continues after separation and often uses the family court system as its instrument. Hardesty &amp; Ganong (2006) and Hardesty et al. (2016) specifically document the use of custody and parenting-time proceedings as mechanisms of continued control.</w:t>
      </w:r>
    </w:p>
    <w:p>
      <w:pPr>
        <w:spacing w:after="160"/>
      </w:pPr>
      <w:r>
        <w:t xml:space="preserve">Key Catalog implications: the Manufactured Conflict metrics (CC-04) draw directly from Hardesty's framework; the platform design (CC-05) must handle cases where separation does not end the pattern; mediation metrics (md-settle) in coercive-control cases have a different meaning than in equivalently-situated cases — an apparent "agreement" can be a capitulation rather than a resolution.</w:t>
      </w:r>
    </w:p>
    <w:p>
      <w:pPr>
        <w:pStyle w:val="Heading3"/>
      </w:pPr>
      <w:r>
        <w:t xml:space="preserve">1.4 Johnson's Typology (1995, 2008) and Its Critics</w:t>
      </w:r>
    </w:p>
    <w:p>
      <w:pPr>
        <w:spacing w:after="160"/>
      </w:pPr>
      <w:r>
        <w:t xml:space="preserve">Michael Johnson's typology of intimate partner violence distinguishes intimate terrorism (sustained coercive control) from situational couple violence (episodic, conflict-driven). The typology has been productively criticized — notably by Kelly and Johnson (2008) for the practical difficulty of distinguishing types in real cases, and by more recent survivor-led work for its binary framing. The Catalog uses the typology cautiously: it informs the screening protocol's structure but the Catalog does not publish type-frequencies as a metric because type-assignment is often contested.</w:t>
      </w:r>
    </w:p>
    <w:p>
      <w:pPr>
        <w:pStyle w:val="Heading3"/>
      </w:pPr>
      <w:r>
        <w:t xml:space="preserve">1.5 Legal System Abuse (Douglas, 2018; Przekop, 2011)</w:t>
      </w:r>
    </w:p>
    <w:p>
      <w:pPr>
        <w:spacing w:after="160"/>
      </w:pPr>
      <w:r>
        <w:t xml:space="preserve">Heather Douglas's work on legal systems abuse (2018 onwards) and Marcia Przekop's earlier research on post-separation litigation abuse establish the specific phenomenon the Catalog addresses as "manufactured conflict." Legal systems abuse includes vexatious litigation, procedural motions designed to exhaust the targeted parent financially, strategic use of custody disputes to maintain contact, and false accusations used to reverse protective findings.</w:t>
      </w:r>
    </w:p>
    <w:p>
      <w:pPr>
        <w:spacing w:after="160"/>
      </w:pPr>
      <w:r>
        <w:t xml:space="preserve">Key Catalog implications: several Catalog metrics that appear neutral (motion volume, continuance frequency, emergency motion filing) take on different meaning in a legal-systems-abuse context; the Manufactured Conflict metrics in Document CC-04 operationalize Douglas's framework.</w:t>
      </w:r>
    </w:p>
    <w:p>
      <w:r>
        <w:br w:type="page"/>
      </w:r>
    </w:p>
    <w:p>
      <w:pPr>
        <w:spacing w:after="40" w:before="240"/>
      </w:pPr>
      <w:r>
        <w:rPr>
          <w:b/>
          <w:bCs/>
          <w:color w:val="B8371F"/>
          <w:spacing w:val="40"/>
          <w:sz w:val="18"/>
          <w:szCs w:val="18"/>
        </w:rPr>
        <w:t xml:space="preserve">SECTION 2</w:t>
      </w:r>
    </w:p>
    <w:p>
      <w:pPr>
        <w:pStyle w:val="Heading1"/>
      </w:pPr>
      <w:r>
        <w:t xml:space="preserve">Validated Instruments</w:t>
      </w:r>
    </w:p>
    <w:p>
      <w:pPr>
        <w:spacing w:after="160"/>
      </w:pPr>
      <w:r>
        <w:t xml:space="preserve">The Catalog does not build its own coercive-control assessment instrument. It integrates with validated instruments that clinicians and researchers already use. The crosswalk below maps each instrument to Catalog metrics and indicates the intended integration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00"/>
        <w:gridCol w:w="2460"/>
      </w:tblGrid>
      <w:tr>
        <w:trPr>
          <w:tblHeader/>
        </w:trPr>
        <w:tc>
          <w:tcPr>
            <w:tcW w:type="dxa" w:w="28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INSTRUMENT</w:t>
            </w:r>
          </w:p>
        </w:tc>
        <w:tc>
          <w:tcPr>
            <w:tcW w:type="dxa" w:w="16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DEVELOPER · YEAR</w:t>
            </w:r>
          </w:p>
        </w:tc>
        <w:tc>
          <w:tcPr>
            <w:tcW w:type="dxa" w:w="2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WHAT IT MEASURES</w:t>
            </w:r>
          </w:p>
        </w:tc>
        <w:tc>
          <w:tcPr>
            <w:tcW w:type="dxa" w:w="24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CATALOG INTEGRATION</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Controlling Behaviors Scale — Revised (CBS-R)</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Graham-Kevan &amp; Archer, 2003</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Partner's controlling behaviors across five domains.</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Screening protocol entry point (CC-03).</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Coercive Control Scale (CCS)</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Dutton, Goodman &amp; Schmidt, 2005</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Continuous measurement of coercive tactics.</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Refines cc-tactics-pattern metric (Doc CC-04).</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Power and Control Wheel</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Domestic Abuse Intervention Programs, 1984</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Framework of tactics, not a scored instrument.</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Used for training and for screening protocol categorization.</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Multidimensional Measure of Emotional Abuse (MMEA)</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Murphy &amp; Hoover, 1999</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Psychological abuse patterns.</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Backs cc-psychological-abuse metric.</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Danger Assessment (DA)</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Campbell, 1986 (revised 2003)</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Lethality risk factors.</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Never a Catalog metric. Flagged as referral-only, not aggregation-eligible.</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Ontario Domestic Assault Risk Assessment (ODARA)</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Hilton et al., 2004</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Male-perpetrator reassault risk (limited scope).</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Not integrated. Scope too narrow and population-specific.</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Conflict Tactics Scale — Revised (CTS-2)</w:t>
            </w:r>
          </w:p>
        </w:tc>
        <w:tc>
          <w:tcPr>
            <w:tcW w:type="dxa" w:w="1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Straus et al., 1996</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Symmetric measurement of conflict tactics.</w:t>
            </w:r>
          </w:p>
        </w:tc>
        <w:tc>
          <w:tcPr>
            <w:tcW w:type="dxa" w:w="24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NOT integrated. Symmetric framing conflicts with Asymmetry Principle. Documented here to explain exclusion.</w:t>
            </w:r>
          </w:p>
        </w:tc>
      </w:tr>
    </w:tbl>
    <w:p>
      <w:pPr>
        <w:pStyle w:val="Heading3"/>
      </w:pPr>
      <w:r>
        <w:t xml:space="preserve">2.1 Integration Model</w:t>
      </w:r>
    </w:p>
    <w:p>
      <w:pPr>
        <w:spacing w:after="160"/>
      </w:pPr>
      <w:r>
        <w:t xml:space="preserve">The Catalog does not administer instruments directly. It accepts, as input, scored results from instruments administered by qualified clinicians, GALs, mediators with appropriate training, or validated self-screening tools. Aggregate metrics are computed from scored-result inputs, never from raw instrument items.</w:t>
      </w:r>
    </w:p>
    <w:p>
      <w:pPr>
        <w:spacing w:after="160"/>
      </w:pPr>
      <w:r>
        <w:t xml:space="preserve">This separation is deliberate. Coercive-control assessment requires clinical judgment that a data platform cannot provide. The Catalog's value is in what it does with scored assessments — aggregation, longitudinal analysis, research enablement — not in making assessments itself.</w:t>
      </w:r>
    </w:p>
    <w:p>
      <w:pPr>
        <w:pStyle w:val="Heading3"/>
      </w:pPr>
      <w:r>
        <w:t xml:space="preserve">2.2 Why CTS-2 Is Explicitly Excluded</w:t>
      </w:r>
    </w:p>
    <w:p>
      <w:pPr>
        <w:spacing w:after="160"/>
      </w:pPr>
      <w:r>
        <w:t xml:space="preserve">The Conflict Tactics Scale family (Straus et al., 1996) is widely used in research and generates the symmetric victimization estimates frequently cited in non-expert discussions of intimate partner violence. The Catalog explicitly does NOT integrate CTS-2 data because its symmetric framing directly contradicts the Asymmetry Principle for the specific class of cases the CC metrics address.</w:t>
      </w:r>
    </w:p>
    <w:p>
      <w:pPr>
        <w:spacing w:after="160"/>
      </w:pPr>
      <w:r>
        <w:t xml:space="preserve">Research using CTS-2 remains valuable for other questions and is not condemned here. The Catalog's exclusion is a context-specific architectural decision, not a claim about the instrument's validity in other contexts.</w:t>
      </w:r>
    </w:p>
    <w:p>
      <w:r>
        <w:br w:type="page"/>
      </w:r>
    </w:p>
    <w:p>
      <w:pPr>
        <w:spacing w:after="40" w:before="240"/>
      </w:pPr>
      <w:r>
        <w:rPr>
          <w:b/>
          <w:bCs/>
          <w:color w:val="B8371F"/>
          <w:spacing w:val="40"/>
          <w:sz w:val="18"/>
          <w:szCs w:val="18"/>
        </w:rPr>
        <w:t xml:space="preserve">SECTION 3</w:t>
      </w:r>
    </w:p>
    <w:p>
      <w:pPr>
        <w:pStyle w:val="Heading1"/>
      </w:pPr>
      <w:r>
        <w:t xml:space="preserve">Methodological Choices</w:t>
      </w:r>
    </w:p>
    <w:p>
      <w:pPr>
        <w:pStyle w:val="Heading3"/>
      </w:pPr>
      <w:r>
        <w:t xml:space="preserve">3.1 Pattern vs. Incident Measurement</w:t>
      </w:r>
    </w:p>
    <w:p>
      <w:pPr>
        <w:spacing w:after="160"/>
      </w:pPr>
      <w:r>
        <w:t xml:space="preserve">The Catalog measures coercive control as a pattern, not as discrete incidents. This is a methodological commitment that follows Stark's framing and Katz's empirical work. Operationally: metrics use rolling-window denominators (90 days typical), count tactic categories present rather than individual tactic events, and include temporal-consistency measures. A single event that would be a criminal-law predicate may not be captured at all; a sustained low-severity pattern will be captured even when it crosses no single criminal threshold.</w:t>
      </w:r>
    </w:p>
    <w:p>
      <w:pPr>
        <w:pStyle w:val="Heading3"/>
      </w:pPr>
      <w:r>
        <w:t xml:space="preserve">3.2 Self-Report Weighting</w:t>
      </w:r>
    </w:p>
    <w:p>
      <w:pPr>
        <w:spacing w:after="160"/>
      </w:pPr>
      <w:r>
        <w:t xml:space="preserve">Targeted-parent self-report is the primary data source for pattern-identification metrics because much of the relevant conduct is not externally observable. Self-report carries known limitations (social desirability, minimization, disclosure risk under ongoing control). The Catalog handles these limitations through triangulation with court-record indicators (filing patterns, procedural anomalies) and with corroborating artifacts (exchange logs, communication metadata) rather than by dismissing self-report.</w:t>
      </w:r>
    </w:p>
    <w:p>
      <w:pPr>
        <w:pStyle w:val="Heading3"/>
      </w:pPr>
      <w:r>
        <w:t xml:space="preserve">3.3 Non-Falsifiability of Denial</w:t>
      </w:r>
    </w:p>
    <w:p>
      <w:pPr>
        <w:spacing w:after="160"/>
      </w:pPr>
      <w:r>
        <w:t xml:space="preserve">A specific methodological issue: a controlling parent's denial of coercive control does not disconfirm the pattern. Denial is itself a tactic in many patterns (Stark, 2007). The Catalog does not require "mutual acknowledgment" of a pattern as a condition for its measurement. This is a substantial departure from some evaluation frameworks that weight agreement heavily.</w:t>
      </w:r>
    </w:p>
    <w:p>
      <w:pPr>
        <w:pStyle w:val="Heading3"/>
      </w:pPr>
      <w:r>
        <w:t xml:space="preserve">3.4 Cultural and Contextual Adjustment</w:t>
      </w:r>
    </w:p>
    <w:p>
      <w:pPr>
        <w:spacing w:after="160"/>
      </w:pPr>
      <w:r>
        <w:t xml:space="preserve">Coercive-control research has been developed substantially in Anglo-American contexts, with growing work in other cultural contexts. Measurement applied uncritically across cultural contexts risks pathologizing normal-within-context behavior or missing coercive behavior that takes culturally-specific forms. The Catalog does not ignore this. Instruments used in screening are selected for the linguistic and cultural community; aggregate metrics are reported with enough demographic stratification to enable detection of cultural-measurement drift, subject to privacy floors.</w:t>
      </w:r>
    </w:p>
    <w:p>
      <w:pPr>
        <w:spacing w:after="40" w:before="240"/>
      </w:pPr>
      <w:r>
        <w:rPr>
          <w:b/>
          <w:bCs/>
          <w:color w:val="B8371F"/>
          <w:spacing w:val="40"/>
          <w:sz w:val="18"/>
          <w:szCs w:val="18"/>
        </w:rPr>
        <w:t xml:space="preserve">SECTION 4</w:t>
      </w:r>
    </w:p>
    <w:p>
      <w:pPr>
        <w:pStyle w:val="Heading1"/>
      </w:pPr>
      <w:r>
        <w:t xml:space="preserve">Gaps in the Literature</w:t>
      </w:r>
    </w:p>
    <w:p>
      <w:pPr>
        <w:spacing w:after="160"/>
      </w:pPr>
      <w:r>
        <w:t xml:space="preserve">Several gaps in the research literature affect what the Catalog can and cannot claim.</w:t>
      </w:r>
    </w:p>
    <w:p>
      <w:pPr>
        <w:pStyle w:val="ListParagraph"/>
        <w:numPr>
          <w:ilvl w:val="0"/>
          <w:numId w:val="2"/>
        </w:numPr>
        <w:spacing w:after="80"/>
      </w:pPr>
      <w:r>
        <w:t xml:space="preserve">MEN AS TARGETED PARENTS — Research on coercive control of men by women and of partners within same-sex relationships exists but is less developed than research on coercive control of women. The Catalog treats the pattern as the unit of analysis rather than gender configuration, which partially addresses this, but measurement validity is stronger for the better-researched configurations.</w:t>
      </w:r>
    </w:p>
    <w:p>
      <w:pPr>
        <w:pStyle w:val="ListParagraph"/>
        <w:numPr>
          <w:ilvl w:val="0"/>
          <w:numId w:val="2"/>
        </w:numPr>
        <w:spacing w:after="80"/>
      </w:pPr>
      <w:r>
        <w:t xml:space="preserve">LONGITUDINAL CHILD OUTCOMES — Katz's 2022 work is a significant advance but child-outcome measurement in coercive-control households over multi-decade spans remains thin. The Catalog's r-plan-effect metric contributes to this literature over time; it does not draw on a settled literature.</w:t>
      </w:r>
    </w:p>
    <w:p>
      <w:pPr>
        <w:pStyle w:val="ListParagraph"/>
        <w:numPr>
          <w:ilvl w:val="0"/>
          <w:numId w:val="2"/>
        </w:numPr>
        <w:spacing w:after="80"/>
      </w:pPr>
      <w:r>
        <w:t xml:space="preserve">LEGAL SYSTEMS ABUSE OUTCOMES — Douglas's work is recent and primarily Australian. Missouri-specific application requires careful translation of frameworks and may surface patterns distinct from the Australian baseline.</w:t>
      </w:r>
    </w:p>
    <w:p>
      <w:pPr>
        <w:pStyle w:val="ListParagraph"/>
        <w:numPr>
          <w:ilvl w:val="0"/>
          <w:numId w:val="2"/>
        </w:numPr>
        <w:spacing w:after="80"/>
      </w:pPr>
      <w:r>
        <w:t xml:space="preserve">FALSE ALLEGATIONS — The literature on false coercive-control allegations is contested and politically fraught. The Catalog avoids this question architecturally by not publishing allegation-confirmation rates as a metric; it relies on screening outcomes from qualified clinicians and does not aggregate case-level adjudication.</w:t>
      </w:r>
    </w:p>
    <w:p>
      <w:pPr>
        <w:spacing w:after="40" w:before="240"/>
      </w:pPr>
      <w:r>
        <w:rPr>
          <w:b/>
          <w:bCs/>
          <w:color w:val="B8371F"/>
          <w:spacing w:val="40"/>
          <w:sz w:val="18"/>
          <w:szCs w:val="18"/>
        </w:rPr>
        <w:t xml:space="preserve">SECTION 5</w:t>
      </w:r>
    </w:p>
    <w:p>
      <w:pPr>
        <w:pStyle w:val="Heading1"/>
      </w:pPr>
      <w:r>
        <w:t xml:space="preserve">References for Further Reading</w:t>
      </w:r>
    </w:p>
    <w:p>
      <w:pPr>
        <w:spacing w:after="160"/>
      </w:pPr>
      <w:r>
        <w:t xml:space="preserve">A working reading list, not exhaustive. Full citations and availability maintained in the Catalog's methodology repository.</w:t>
      </w:r>
    </w:p>
    <w:p>
      <w:pPr>
        <w:pStyle w:val="ListParagraph"/>
        <w:numPr>
          <w:ilvl w:val="0"/>
          <w:numId w:val="2"/>
        </w:numPr>
        <w:spacing w:after="80"/>
      </w:pPr>
      <w:r>
        <w:t xml:space="preserve">Stark, E. (2007). Coercive Control: How Men Entrap Women in Personal Life. Oxford University Press.</w:t>
      </w:r>
    </w:p>
    <w:p>
      <w:pPr>
        <w:pStyle w:val="ListParagraph"/>
        <w:numPr>
          <w:ilvl w:val="0"/>
          <w:numId w:val="2"/>
        </w:numPr>
        <w:spacing w:after="80"/>
      </w:pPr>
      <w:r>
        <w:t xml:space="preserve">Stark, E., &amp; Hester, M. (2019). Coercive control: update and review. Violence Against Women.</w:t>
      </w:r>
    </w:p>
    <w:p>
      <w:pPr>
        <w:pStyle w:val="ListParagraph"/>
        <w:numPr>
          <w:ilvl w:val="0"/>
          <w:numId w:val="2"/>
        </w:numPr>
        <w:spacing w:after="80"/>
      </w:pPr>
      <w:r>
        <w:t xml:space="preserve">Katz, E. (2022). Coercive Control in Children's and Mothers' Lives. Oxford University Press.</w:t>
      </w:r>
    </w:p>
    <w:p>
      <w:pPr>
        <w:pStyle w:val="ListParagraph"/>
        <w:numPr>
          <w:ilvl w:val="0"/>
          <w:numId w:val="2"/>
        </w:numPr>
        <w:spacing w:after="80"/>
      </w:pPr>
      <w:r>
        <w:t xml:space="preserve">Hardesty, J. L., &amp; Ganong, L. H. (2006). How women make custody decisions and manage co-parenting with abusive former husbands. Journal of Social and Personal Relationships.</w:t>
      </w:r>
    </w:p>
    <w:p>
      <w:pPr>
        <w:pStyle w:val="ListParagraph"/>
        <w:numPr>
          <w:ilvl w:val="0"/>
          <w:numId w:val="2"/>
        </w:numPr>
        <w:spacing w:after="80"/>
      </w:pPr>
      <w:r>
        <w:t xml:space="preserve">Hardesty, J. L., et al. (2016). Marital violence and coparenting quality after separation. Journal of Family Psychology.</w:t>
      </w:r>
    </w:p>
    <w:p>
      <w:pPr>
        <w:pStyle w:val="ListParagraph"/>
        <w:numPr>
          <w:ilvl w:val="0"/>
          <w:numId w:val="2"/>
        </w:numPr>
        <w:spacing w:after="80"/>
      </w:pPr>
      <w:r>
        <w:t xml:space="preserve">Johnson, M. P. (2008). A Typology of Domestic Violence. Northeastern University Press.</w:t>
      </w:r>
    </w:p>
    <w:p>
      <w:pPr>
        <w:pStyle w:val="ListParagraph"/>
        <w:numPr>
          <w:ilvl w:val="0"/>
          <w:numId w:val="2"/>
        </w:numPr>
        <w:spacing w:after="80"/>
      </w:pPr>
      <w:r>
        <w:t xml:space="preserve">Kelly, J. B., &amp; Johnson, M. P. (2008). Differentiation among types of intimate partner violence. Family Court Review.</w:t>
      </w:r>
    </w:p>
    <w:p>
      <w:pPr>
        <w:pStyle w:val="ListParagraph"/>
        <w:numPr>
          <w:ilvl w:val="0"/>
          <w:numId w:val="2"/>
        </w:numPr>
        <w:spacing w:after="80"/>
      </w:pPr>
      <w:r>
        <w:t xml:space="preserve">Douglas, H. (2018). Legal systems abuse and coercive control. Criminology &amp; Criminal Justice.</w:t>
      </w:r>
    </w:p>
    <w:p>
      <w:pPr>
        <w:pStyle w:val="ListParagraph"/>
        <w:numPr>
          <w:ilvl w:val="0"/>
          <w:numId w:val="2"/>
        </w:numPr>
        <w:spacing w:after="80"/>
      </w:pPr>
      <w:r>
        <w:t xml:space="preserve">Przekop, M. (2011). One more battleground: domestic violence, child custody, and the batterers' relentless pursuit of their victims through the courts. Seattle Journal for Social Justice.</w:t>
      </w:r>
    </w:p>
    <w:p>
      <w:pPr>
        <w:pStyle w:val="ListParagraph"/>
        <w:numPr>
          <w:ilvl w:val="0"/>
          <w:numId w:val="2"/>
        </w:numPr>
        <w:spacing w:after="80"/>
      </w:pPr>
      <w:r>
        <w:t xml:space="preserve">Graham-Kevan, N., &amp; Archer, J. (2003). Intimate terrorism and common couple violence: a test of Johnson's predictions. Journal of Interpersonal Violence.</w:t>
      </w:r>
    </w:p>
    <w:p>
      <w:pPr>
        <w:pStyle w:val="ListParagraph"/>
        <w:numPr>
          <w:ilvl w:val="0"/>
          <w:numId w:val="2"/>
        </w:numPr>
        <w:spacing w:after="80"/>
      </w:pPr>
      <w:r>
        <w:t xml:space="preserve">Dutton, M. A., Goodman, L., &amp; Schmidt, R. J. (2005). Development and Validation of a Coercive Control Measure for Intimate Partner Violence. NIJ.</w:t>
      </w:r>
    </w:p>
    <w:p>
      <w:pPr>
        <w:pStyle w:val="ListParagraph"/>
        <w:numPr>
          <w:ilvl w:val="0"/>
          <w:numId w:val="2"/>
        </w:numPr>
        <w:spacing w:after="80"/>
      </w:pPr>
      <w:r>
        <w:t xml:space="preserve">Campbell, J. C. (2003). Danger Assessment. Johns Hopkins School of Nursing.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CC-02 · LITERATURE &amp; INSTRUMENTS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2026-04-21T02:05:02.554Z</dcterms:created>
  <dcterms:modified xsi:type="dcterms:W3CDTF">2026-04-21T02:05:02.554Z</dcterms:modified>
</cp:coreProperties>
</file>

<file path=docProps/custom.xml><?xml version="1.0" encoding="utf-8"?>
<Properties xmlns="http://schemas.openxmlformats.org/officeDocument/2006/custom-properties" xmlns:vt="http://schemas.openxmlformats.org/officeDocument/2006/docPropsVTypes"/>
</file>