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b/>
          <w:bCs/>
          <w:color w:val="B8371F"/>
          <w:spacing w:val="60"/>
          <w:sz w:val="18"/>
          <w:szCs w:val="18"/>
        </w:rPr>
        <w:t xml:space="preserve">DOCUMENT 14</w:t>
      </w:r>
    </w:p>
    <w:p>
      <w:pPr>
        <w:spacing w:after="80"/>
      </w:pPr>
      <w:r>
        <w:rPr>
          <w:b/>
          <w:bCs/>
          <w:color w:val="1F2744"/>
          <w:spacing w:val="40"/>
          <w:sz w:val="22"/>
          <w:szCs w:val="22"/>
        </w:rPr>
        <w:t xml:space="preserve">THE FAMILY COURT METRIC CATALOG</w:t>
      </w:r>
    </w:p>
    <w:p>
      <w:pPr>
        <w:spacing w:after="40"/>
      </w:pPr>
      <w:r>
        <w:rPr>
          <w:b/>
          <w:bCs/>
          <w:color w:val="0D1220"/>
          <w:sz w:val="52"/>
          <w:szCs w:val="52"/>
        </w:rPr>
        <w:t xml:space="preserve">Stakeholder</w:t>
      </w:r>
    </w:p>
    <w:p>
      <w:pPr>
        <w:spacing w:after="240"/>
      </w:pPr>
      <w:r>
        <w:rPr>
          <w:b/>
          <w:bCs/>
          <w:color w:val="0D1220"/>
          <w:sz w:val="52"/>
          <w:szCs w:val="52"/>
        </w:rPr>
        <w:t xml:space="preserve">Call Sheet</w:t>
      </w:r>
    </w:p>
    <w:p>
      <w:pPr>
        <w:spacing w:after="400"/>
      </w:pPr>
      <w:r>
        <w:rPr>
          <w:color w:val="1F2744"/>
          <w:sz w:val="26"/>
          <w:szCs w:val="26"/>
        </w:rPr>
        <w:t xml:space="preserve">Eight prioritized outreach conversations needed to move the pilot from proposal to execution.</w:t>
      </w:r>
    </w:p>
    <w:p>
      <w:pPr>
        <w:pBdr>
          <w:bottom w:val="single" w:color="0D1220" w:sz="6" w:space="1"/>
        </w:pBdr>
        <w:spacing w:after="120" w:before="120"/>
      </w:pPr>
      <w:r>
        <w:t xml:space="preserve"/>
      </w:r>
    </w:p>
    <w:p>
      <w:pPr>
        <w:spacing w:after="60" w:before="200"/>
      </w:pPr>
      <w:r>
        <w:rPr>
          <w:b/>
          <w:bCs/>
          <w:color w:val="555046"/>
          <w:spacing w:val="40"/>
          <w:sz w:val="16"/>
          <w:szCs w:val="16"/>
        </w:rPr>
        <w:t xml:space="preserve">PREPARED FOR</w:t>
      </w:r>
    </w:p>
    <w:p>
      <w:pPr>
        <w:spacing w:after="120"/>
      </w:pPr>
      <w:r>
        <w:rPr>
          <w:color w:val="0D1220"/>
          <w:sz w:val="24"/>
          <w:szCs w:val="24"/>
        </w:rPr>
        <w:t xml:space="preserve">Executive Director · Development Team</w:t>
      </w:r>
    </w:p>
    <w:p>
      <w:pPr>
        <w:spacing w:before="400"/>
      </w:pPr>
      <w:r>
        <w:rPr>
          <w:b/>
          <w:bCs/>
          <w:color w:val="555046"/>
          <w:spacing w:val="30"/>
          <w:sz w:val="18"/>
          <w:szCs w:val="18"/>
        </w:rPr>
        <w:t xml:space="preserve">Missouri Pilot · Version 0.3 · 2026</w:t>
      </w:r>
    </w:p>
    <w:p>
      <w:pPr>
        <w:spacing w:after="40"/>
      </w:pPr>
      <w:r>
        <w:rPr>
          <w:color w:val="555046"/>
          <w:sz w:val="18"/>
          <w:szCs w:val="18"/>
        </w:rPr>
        <w:t xml:space="preserve">A CoTrackPro Civic Publication</w:t>
      </w:r>
    </w:p>
    <w:p>
      <w:r>
        <w:br w:type="page"/>
      </w:r>
    </w:p>
    <w:p>
      <w:pPr>
        <w:spacing w:after="40" w:before="240"/>
      </w:pPr>
      <w:r>
        <w:rPr>
          <w:b/>
          <w:bCs/>
          <w:color w:val="B8371F"/>
          <w:spacing w:val="40"/>
          <w:sz w:val="18"/>
          <w:szCs w:val="18"/>
        </w:rPr>
        <w:t xml:space="preserve">PURPOSE</w:t>
      </w:r>
    </w:p>
    <w:p>
      <w:pPr>
        <w:pStyle w:val="Heading1"/>
      </w:pPr>
      <w:r>
        <w:t xml:space="preserve">Sequence Matters</w:t>
      </w:r>
    </w:p>
    <w:p>
      <w:pPr>
        <w:spacing w:after="160"/>
      </w:pPr>
      <w:r>
        <w:t xml:space="preserve">The conversations in this document are sequenced to build credibility in the order that matters most. OSCA comes first because no pilot is possible without them. MOCADSV comes second because DV safety must be validated before any other stakeholder sees detailed materials. Missouri Bar and academic partners follow, with presiding judges and advocacy organizations sequenced thereafter.</w:t>
      </w:r>
    </w:p>
    <w:p>
      <w:pPr>
        <w:spacing w:after="160"/>
      </w:pPr>
      <w:r>
        <w:t xml:space="preserve">Each entry identifies the contact target, the specific ask, the talking points, and the leave-behind materials. Sensitive materials (like this full binder) are not distributed until conversations reach the point of substantive engagement.</w:t>
      </w:r>
    </w:p>
    <w:p>
      <w:r>
        <w:br w:type="page"/>
      </w:r>
    </w:p>
    <w:p>
      <w:pPr>
        <w:spacing w:after="40" w:before="240"/>
      </w:pPr>
      <w:r>
        <w:rPr>
          <w:b/>
          <w:bCs/>
          <w:color w:val="B8371F"/>
          <w:spacing w:val="40"/>
          <w:sz w:val="18"/>
          <w:szCs w:val="18"/>
        </w:rPr>
        <w:t xml:space="preserve">CONVERSATION 1</w:t>
      </w:r>
    </w:p>
    <w:p>
      <w:pPr>
        <w:pStyle w:val="Heading1"/>
      </w:pPr>
      <w:r>
        <w:t xml:space="preserve">OSCA Research and Statistics Division</w:t>
      </w:r>
    </w:p>
    <w:p>
      <w:pPr>
        <w:pStyle w:val="Heading3"/>
      </w:pPr>
      <w:r>
        <w:t xml:space="preserve">Target</w:t>
      </w:r>
    </w:p>
    <w:p>
      <w:pPr>
        <w:spacing w:after="160"/>
      </w:pPr>
      <w:r>
        <w:t xml:space="preserve">Director of Research and Statistics or equivalent senior research role. Initial outreach via the OSCA general contact with a one-page executive summary.</w:t>
      </w:r>
    </w:p>
    <w:p>
      <w:pPr>
        <w:pStyle w:val="Heading3"/>
      </w:pPr>
      <w:r>
        <w:t xml:space="preserve">Ask</w:t>
      </w:r>
    </w:p>
    <w:p>
      <w:pPr>
        <w:spacing w:after="160"/>
      </w:pPr>
      <w:r>
        <w:t xml:space="preserve">A 45-minute exploratory conversation about whether the framework described in Document 01 could reduce duplicate research requests and improve OSCA's own reporting capacity.</w:t>
      </w:r>
    </w:p>
    <w:p>
      <w:pPr>
        <w:pStyle w:val="Heading3"/>
      </w:pPr>
      <w:r>
        <w:t xml:space="preserve">Talking Points</w:t>
      </w:r>
    </w:p>
    <w:p>
      <w:pPr>
        <w:pStyle w:val="ListParagraph"/>
        <w:numPr>
          <w:ilvl w:val="0"/>
          <w:numId w:val="2"/>
        </w:numPr>
        <w:spacing w:after="80"/>
      </w:pPr>
      <w:r>
        <w:t xml:space="preserve">Emphasize "no statutory authority required for the pilot." This is essential.</w:t>
      </w:r>
    </w:p>
    <w:p>
      <w:pPr>
        <w:pStyle w:val="ListParagraph"/>
        <w:numPr>
          <w:ilvl w:val="0"/>
          <w:numId w:val="2"/>
        </w:numPr>
        <w:spacing w:after="80"/>
      </w:pPr>
      <w:r>
        <w:t xml:space="preserve">Offer to modify the framework based on OSCA concerns before any public discussion.</w:t>
      </w:r>
    </w:p>
    <w:p>
      <w:pPr>
        <w:pStyle w:val="ListParagraph"/>
        <w:numPr>
          <w:ilvl w:val="0"/>
          <w:numId w:val="2"/>
        </w:numPr>
        <w:spacing w:after="80"/>
      </w:pPr>
      <w:r>
        <w:t xml:space="preserve">Stress voluntary, MOU-governed, audit-right-protected participation.</w:t>
      </w:r>
    </w:p>
    <w:p>
      <w:pPr>
        <w:pStyle w:val="ListParagraph"/>
        <w:numPr>
          <w:ilvl w:val="0"/>
          <w:numId w:val="2"/>
        </w:numPr>
        <w:spacing w:after="80"/>
      </w:pPr>
      <w:r>
        <w:t xml:space="preserve">Highlight Missouri being first — a national leadership story without national risk in Phase 1.</w:t>
      </w:r>
    </w:p>
    <w:p>
      <w:pPr>
        <w:pStyle w:val="Heading3"/>
      </w:pPr>
      <w:r>
        <w:t xml:space="preserve">Leave-Behind</w:t>
      </w:r>
    </w:p>
    <w:p>
      <w:pPr>
        <w:spacing w:after="160"/>
      </w:pPr>
      <w:r>
        <w:t xml:space="preserve">Cover letter and executive summary (Doc 00) plus framework overview (Doc 01). Full binder on request.</w:t>
      </w:r>
    </w:p>
    <w:p>
      <w:pPr>
        <w:spacing w:after="40" w:before="240"/>
      </w:pPr>
      <w:r>
        <w:rPr>
          <w:b/>
          <w:bCs/>
          <w:color w:val="B8371F"/>
          <w:spacing w:val="40"/>
          <w:sz w:val="18"/>
          <w:szCs w:val="18"/>
        </w:rPr>
        <w:t xml:space="preserve">CONVERSATION 2</w:t>
      </w:r>
    </w:p>
    <w:p>
      <w:pPr>
        <w:pStyle w:val="Heading1"/>
      </w:pPr>
      <w:r>
        <w:t xml:space="preserve">Missouri Coalition Against Domestic and Sexual Violence</w:t>
      </w:r>
    </w:p>
    <w:p>
      <w:pPr>
        <w:pStyle w:val="Heading3"/>
      </w:pPr>
      <w:r>
        <w:t xml:space="preserve">Target</w:t>
      </w:r>
    </w:p>
    <w:p>
      <w:pPr>
        <w:spacing w:after="160"/>
      </w:pPr>
      <w:r>
        <w:t xml:space="preserve">Executive director or public policy director.</w:t>
      </w:r>
    </w:p>
    <w:p>
      <w:pPr>
        <w:pStyle w:val="Heading3"/>
      </w:pPr>
      <w:r>
        <w:t xml:space="preserve">Ask</w:t>
      </w:r>
    </w:p>
    <w:p>
      <w:pPr>
        <w:spacing w:after="160"/>
      </w:pPr>
      <w:r>
        <w:t xml:space="preserve">An hour-long conversation specifically about survivor-safety implications, with the explicit invitation to veto specific metrics or metric categories.</w:t>
      </w:r>
    </w:p>
    <w:p>
      <w:pPr>
        <w:pStyle w:val="Heading3"/>
      </w:pPr>
      <w:r>
        <w:t xml:space="preserve">Talking Points</w:t>
      </w:r>
    </w:p>
    <w:p>
      <w:pPr>
        <w:pStyle w:val="ListParagraph"/>
        <w:numPr>
          <w:ilvl w:val="0"/>
          <w:numId w:val="2"/>
        </w:numPr>
        <w:spacing w:after="80"/>
      </w:pPr>
      <w:r>
        <w:t xml:space="preserve">Lead with the Protective Order Data Confidentiality section (RSMo § 455.085 draft).</w:t>
      </w:r>
    </w:p>
    <w:p>
      <w:pPr>
        <w:pStyle w:val="ListParagraph"/>
        <w:numPr>
          <w:ilvl w:val="0"/>
          <w:numId w:val="2"/>
        </w:numPr>
        <w:spacing w:after="80"/>
      </w:pPr>
      <w:r>
        <w:t xml:space="preserve">Detail the bilateral measurement architecture for any metric touching on violations.</w:t>
      </w:r>
    </w:p>
    <w:p>
      <w:pPr>
        <w:pStyle w:val="ListParagraph"/>
        <w:numPr>
          <w:ilvl w:val="0"/>
          <w:numId w:val="2"/>
        </w:numPr>
        <w:spacing w:after="80"/>
      </w:pPr>
      <w:r>
        <w:t xml:space="preserve">Walk through the Data Ethics Review structure and offer MOCADSV-named seat.</w:t>
      </w:r>
    </w:p>
    <w:p>
      <w:pPr>
        <w:pStyle w:val="ListParagraph"/>
        <w:numPr>
          <w:ilvl w:val="0"/>
          <w:numId w:val="2"/>
        </w:numPr>
        <w:spacing w:after="80"/>
      </w:pPr>
      <w:r>
        <w:t xml:space="preserve">Share concrete examples of what the framework WILL NOT publish.</w:t>
      </w:r>
    </w:p>
    <w:p>
      <w:pPr>
        <w:pStyle w:val="ListParagraph"/>
        <w:numPr>
          <w:ilvl w:val="0"/>
          <w:numId w:val="2"/>
        </w:numPr>
        <w:spacing w:after="80"/>
      </w:pPr>
      <w:r>
        <w:t xml:space="preserve">Invite participation in the Methodology Board (dedicated DV advocate seat).</w:t>
      </w:r>
    </w:p>
    <w:p>
      <w:pPr>
        <w:pStyle w:val="Heading3"/>
      </w:pPr>
      <w:r>
        <w:t xml:space="preserve">Leave-Behind</w:t>
      </w:r>
    </w:p>
    <w:p>
      <w:pPr>
        <w:spacing w:after="160"/>
      </w:pPr>
      <w:r>
        <w:t xml:space="preserve">Disclosure Tier Reference (Doc 03), Privacy Pipeline (Doc 12), and the DV-specific sections of the Methodology Board Charter (Doc 07).</w:t>
      </w:r>
    </w:p>
    <w:p>
      <w:r>
        <w:br w:type="page"/>
      </w:r>
    </w:p>
    <w:p>
      <w:pPr>
        <w:spacing w:after="40" w:before="240"/>
      </w:pPr>
      <w:r>
        <w:rPr>
          <w:b/>
          <w:bCs/>
          <w:color w:val="B8371F"/>
          <w:spacing w:val="40"/>
          <w:sz w:val="18"/>
          <w:szCs w:val="18"/>
        </w:rPr>
        <w:t xml:space="preserve">CONVERSATION 3</w:t>
      </w:r>
    </w:p>
    <w:p>
      <w:pPr>
        <w:pStyle w:val="Heading1"/>
      </w:pPr>
      <w:r>
        <w:t xml:space="preserve">Missouri Bar Family Law Section</w:t>
      </w:r>
    </w:p>
    <w:p>
      <w:pPr>
        <w:pStyle w:val="Heading3"/>
      </w:pPr>
      <w:r>
        <w:t xml:space="preserve">Target</w:t>
      </w:r>
    </w:p>
    <w:p>
      <w:pPr>
        <w:spacing w:after="160"/>
      </w:pPr>
      <w:r>
        <w:t xml:space="preserve">Section Chair plus two designated members representing practice diversity (one from a plaintiff-side firm, one from a defense-side firm).</w:t>
      </w:r>
    </w:p>
    <w:p>
      <w:pPr>
        <w:pStyle w:val="Heading3"/>
      </w:pPr>
      <w:r>
        <w:t xml:space="preserve">Ask</w:t>
      </w:r>
    </w:p>
    <w:p>
      <w:pPr>
        <w:spacing w:after="160"/>
      </w:pPr>
      <w:r>
        <w:t xml:space="preserve">Endorsement in principle plus nomination of two attorneys to the Methodology Board (one of whom must be a majority-low-income practitioner).</w:t>
      </w:r>
    </w:p>
    <w:p>
      <w:pPr>
        <w:pStyle w:val="Heading3"/>
      </w:pPr>
      <w:r>
        <w:t xml:space="preserve">Talking Points</w:t>
      </w:r>
    </w:p>
    <w:p>
      <w:pPr>
        <w:pStyle w:val="ListParagraph"/>
        <w:numPr>
          <w:ilvl w:val="0"/>
          <w:numId w:val="2"/>
        </w:numPr>
        <w:spacing w:after="80"/>
      </w:pPr>
      <w:r>
        <w:t xml:space="preserve">Emphasize peer benchmarks for attorneys as a professional self-improvement tool.</w:t>
      </w:r>
    </w:p>
    <w:p>
      <w:pPr>
        <w:pStyle w:val="ListParagraph"/>
        <w:numPr>
          <w:ilvl w:val="0"/>
          <w:numId w:val="2"/>
        </w:numPr>
        <w:spacing w:after="80"/>
      </w:pPr>
      <w:r>
        <w:t xml:space="preserve">Stress that no attorney-level public data is produced.</w:t>
      </w:r>
    </w:p>
    <w:p>
      <w:pPr>
        <w:pStyle w:val="ListParagraph"/>
        <w:numPr>
          <w:ilvl w:val="0"/>
          <w:numId w:val="2"/>
        </w:numPr>
        <w:spacing w:after="80"/>
      </w:pPr>
      <w:r>
        <w:t xml:space="preserve">Address concerns about adversarial use with the evidentiary shield in draft RSMo § 452.317.</w:t>
      </w:r>
    </w:p>
    <w:p>
      <w:pPr>
        <w:pStyle w:val="ListParagraph"/>
        <w:numPr>
          <w:ilvl w:val="0"/>
          <w:numId w:val="2"/>
        </w:numPr>
        <w:spacing w:after="80"/>
      </w:pPr>
      <w:r>
        <w:t xml:space="preserve">Offer participation in the methodology review before first publication.</w:t>
      </w:r>
    </w:p>
    <w:p>
      <w:pPr>
        <w:pStyle w:val="Heading3"/>
      </w:pPr>
      <w:r>
        <w:t xml:space="preserve">Leave-Behind</w:t>
      </w:r>
    </w:p>
    <w:p>
      <w:pPr>
        <w:spacing w:after="160"/>
      </w:pPr>
      <w:r>
        <w:t xml:space="preserve">Framework overview plus the Attorney role sections of the Methodology Handbook.</w:t>
      </w:r>
    </w:p>
    <w:p>
      <w:pPr>
        <w:spacing w:after="40" w:before="240"/>
      </w:pPr>
      <w:r>
        <w:rPr>
          <w:b/>
          <w:bCs/>
          <w:color w:val="B8371F"/>
          <w:spacing w:val="40"/>
          <w:sz w:val="18"/>
          <w:szCs w:val="18"/>
        </w:rPr>
        <w:t xml:space="preserve">CONVERSATION 4</w:t>
      </w:r>
    </w:p>
    <w:p>
      <w:pPr>
        <w:pStyle w:val="Heading1"/>
      </w:pPr>
      <w:r>
        <w:t xml:space="preserve">Three Law Schools (Wash U, Mizzou, SLU)</w:t>
      </w:r>
    </w:p>
    <w:p>
      <w:pPr>
        <w:pStyle w:val="Heading3"/>
      </w:pPr>
      <w:r>
        <w:t xml:space="preserve">Target</w:t>
      </w:r>
    </w:p>
    <w:p>
      <w:pPr>
        <w:spacing w:after="160"/>
      </w:pPr>
      <w:r>
        <w:t xml:space="preserve">Dean or associate dean for research at each institution, with parallel outreach to the family law center director where one exists.</w:t>
      </w:r>
    </w:p>
    <w:p>
      <w:pPr>
        <w:pStyle w:val="Heading3"/>
      </w:pPr>
      <w:r>
        <w:t xml:space="preserve">Ask</w:t>
      </w:r>
    </w:p>
    <w:p>
      <w:pPr>
        <w:spacing w:after="160"/>
      </w:pPr>
      <w:r>
        <w:t xml:space="preserve">Academic partnership formalized via a three-year agreement providing $15k per year per institution in exchange for graduate research support and one nominated faculty seat on the Methodology Board (Academic constituency has 3 seats; no two may be same institution).</w:t>
      </w:r>
    </w:p>
    <w:p>
      <w:pPr>
        <w:pStyle w:val="Heading3"/>
      </w:pPr>
      <w:r>
        <w:t xml:space="preserve">Talking Points</w:t>
      </w:r>
    </w:p>
    <w:p>
      <w:pPr>
        <w:pStyle w:val="ListParagraph"/>
        <w:numPr>
          <w:ilvl w:val="0"/>
          <w:numId w:val="2"/>
        </w:numPr>
        <w:spacing w:after="80"/>
      </w:pPr>
      <w:r>
        <w:t xml:space="preserve">Emphasize longitudinal research capacity as unique value — this is Tier B data no other institution can currently access.</w:t>
      </w:r>
    </w:p>
    <w:p>
      <w:pPr>
        <w:pStyle w:val="ListParagraph"/>
        <w:numPr>
          <w:ilvl w:val="0"/>
          <w:numId w:val="2"/>
        </w:numPr>
        <w:spacing w:after="80"/>
      </w:pPr>
      <w:r>
        <w:t xml:space="preserve">Stress IRB-ready DUA framework, with the Board providing methodology governance the schools do not have to build themselves.</w:t>
      </w:r>
    </w:p>
    <w:p>
      <w:pPr>
        <w:pStyle w:val="ListParagraph"/>
        <w:numPr>
          <w:ilvl w:val="0"/>
          <w:numId w:val="2"/>
        </w:numPr>
        <w:spacing w:after="80"/>
      </w:pPr>
      <w:r>
        <w:t xml:space="preserve">Highlight publication opportunities in family law journals and ISLSSL conferences.</w:t>
      </w:r>
    </w:p>
    <w:p>
      <w:pPr>
        <w:pStyle w:val="ListParagraph"/>
        <w:numPr>
          <w:ilvl w:val="0"/>
          <w:numId w:val="2"/>
        </w:numPr>
        <w:spacing w:after="80"/>
      </w:pPr>
      <w:r>
        <w:t xml:space="preserve">Offer graduate student research assistantship structure that benefits the school.</w:t>
      </w:r>
    </w:p>
    <w:p>
      <w:pPr>
        <w:pStyle w:val="Heading3"/>
      </w:pPr>
      <w:r>
        <w:t xml:space="preserve">Leave-Behind</w:t>
      </w:r>
    </w:p>
    <w:p>
      <w:pPr>
        <w:spacing w:after="160"/>
      </w:pPr>
      <w:r>
        <w:t xml:space="preserve">Full binder (on request), with specific focus on Docs 11, 12, and the Researcher role section of Doc 19.</w:t>
      </w:r>
    </w:p>
    <w:p>
      <w:r>
        <w:br w:type="page"/>
      </w:r>
    </w:p>
    <w:p>
      <w:pPr>
        <w:spacing w:after="40" w:before="240"/>
      </w:pPr>
      <w:r>
        <w:rPr>
          <w:b/>
          <w:bCs/>
          <w:color w:val="B8371F"/>
          <w:spacing w:val="40"/>
          <w:sz w:val="18"/>
          <w:szCs w:val="18"/>
        </w:rPr>
        <w:t xml:space="preserve">CONVERSATION 5</w:t>
      </w:r>
    </w:p>
    <w:p>
      <w:pPr>
        <w:pStyle w:val="Heading1"/>
      </w:pPr>
      <w:r>
        <w:t xml:space="preserve">Pilot Circuit Presiding Judges</w:t>
      </w:r>
    </w:p>
    <w:p>
      <w:pPr>
        <w:pStyle w:val="Heading3"/>
      </w:pPr>
      <w:r>
        <w:t xml:space="preserve">Target</w:t>
      </w:r>
    </w:p>
    <w:p>
      <w:pPr>
        <w:spacing w:after="160"/>
      </w:pPr>
      <w:r>
        <w:t xml:space="preserve">Presiding judges of the 13th (Boone), 21st (St. Louis County), and 31st (Greene) Judicial Circuits.</w:t>
      </w:r>
    </w:p>
    <w:p>
      <w:pPr>
        <w:pStyle w:val="Heading3"/>
      </w:pPr>
      <w:r>
        <w:t xml:space="preserve">Ask</w:t>
      </w:r>
    </w:p>
    <w:p>
      <w:pPr>
        <w:spacing w:after="160"/>
      </w:pPr>
      <w:r>
        <w:t xml:space="preserve">Written endorsement of participation, plus designation of one family-assigned judge as the circuit's Methodology Board liaison (non-voting observer).</w:t>
      </w:r>
    </w:p>
    <w:p>
      <w:pPr>
        <w:pStyle w:val="Heading3"/>
      </w:pPr>
      <w:r>
        <w:t xml:space="preserve">Talking Points</w:t>
      </w:r>
    </w:p>
    <w:p>
      <w:pPr>
        <w:pStyle w:val="ListParagraph"/>
        <w:numPr>
          <w:ilvl w:val="0"/>
          <w:numId w:val="2"/>
        </w:numPr>
        <w:spacing w:after="80"/>
      </w:pPr>
      <w:r>
        <w:t xml:space="preserve">Emphasize that no judge-level data leaves the circuit under the pilot MOU.</w:t>
      </w:r>
    </w:p>
    <w:p>
      <w:pPr>
        <w:pStyle w:val="ListParagraph"/>
        <w:numPr>
          <w:ilvl w:val="0"/>
          <w:numId w:val="2"/>
        </w:numPr>
        <w:spacing w:after="80"/>
      </w:pPr>
      <w:r>
        <w:t xml:space="preserve">Private dashboards for individual judges are opt-in, not mandatory.</w:t>
      </w:r>
    </w:p>
    <w:p>
      <w:pPr>
        <w:pStyle w:val="ListParagraph"/>
        <w:numPr>
          <w:ilvl w:val="0"/>
          <w:numId w:val="2"/>
        </w:numPr>
        <w:spacing w:after="80"/>
      </w:pPr>
      <w:r>
        <w:t xml:space="preserve">The circuit's participation does not require any operational changes.</w:t>
      </w:r>
    </w:p>
    <w:p>
      <w:pPr>
        <w:pStyle w:val="ListParagraph"/>
        <w:numPr>
          <w:ilvl w:val="0"/>
          <w:numId w:val="2"/>
        </w:numPr>
        <w:spacing w:after="80"/>
      </w:pPr>
      <w:r>
        <w:t xml:space="preserve">OSCA has 15-business-day review window for any publication involving the circuit.</w:t>
      </w:r>
    </w:p>
    <w:p>
      <w:pPr>
        <w:pStyle w:val="Heading3"/>
      </w:pPr>
      <w:r>
        <w:t xml:space="preserve">Leave-Behind</w:t>
      </w:r>
    </w:p>
    <w:p>
      <w:pPr>
        <w:spacing w:after="160"/>
      </w:pPr>
      <w:r>
        <w:t xml:space="preserve">Pilot County Selection Memo (Doc 04) and Draft MOU (Doc 06).</w:t>
      </w:r>
    </w:p>
    <w:p>
      <w:pPr>
        <w:spacing w:after="40" w:before="240"/>
      </w:pPr>
      <w:r>
        <w:rPr>
          <w:b/>
          <w:bCs/>
          <w:color w:val="B8371F"/>
          <w:spacing w:val="40"/>
          <w:sz w:val="18"/>
          <w:szCs w:val="18"/>
        </w:rPr>
        <w:t xml:space="preserve">CONVERSATION 6</w:t>
      </w:r>
    </w:p>
    <w:p>
      <w:pPr>
        <w:pStyle w:val="Heading1"/>
      </w:pPr>
      <w:r>
        <w:t xml:space="preserve">Fathers' Rights Representative</w:t>
      </w:r>
    </w:p>
    <w:p>
      <w:pPr>
        <w:pStyle w:val="Heading3"/>
      </w:pPr>
      <w:r>
        <w:t xml:space="preserve">Target</w:t>
      </w:r>
    </w:p>
    <w:p>
      <w:pPr>
        <w:spacing w:after="160"/>
      </w:pPr>
      <w:r>
        <w:t xml:space="preserve">Leadership of a recognized Missouri-based fathers' advocacy organization, plus national organizations (ACFC, NPO) for reference.</w:t>
      </w:r>
    </w:p>
    <w:p>
      <w:pPr>
        <w:pStyle w:val="Heading3"/>
      </w:pPr>
      <w:r>
        <w:t xml:space="preserve">Ask</w:t>
      </w:r>
    </w:p>
    <w:p>
      <w:pPr>
        <w:spacing w:after="160"/>
      </w:pPr>
      <w:r>
        <w:t xml:space="preserve">Public endorsement of the bilateral-measurement principle plus nomination of one Methodology Board member.</w:t>
      </w:r>
    </w:p>
    <w:p>
      <w:pPr>
        <w:pStyle w:val="Heading3"/>
      </w:pPr>
      <w:r>
        <w:t xml:space="preserve">Talking Points</w:t>
      </w:r>
    </w:p>
    <w:p>
      <w:pPr>
        <w:pStyle w:val="ListParagraph"/>
        <w:numPr>
          <w:ilvl w:val="0"/>
          <w:numId w:val="2"/>
        </w:numPr>
        <w:spacing w:after="80"/>
      </w:pPr>
      <w:r>
        <w:t xml:space="preserve">Lead with bilateral violation tracking — any metric measuring violations measures them in both directions.</w:t>
      </w:r>
    </w:p>
    <w:p>
      <w:pPr>
        <w:pStyle w:val="ListParagraph"/>
        <w:numPr>
          <w:ilvl w:val="0"/>
          <w:numId w:val="2"/>
        </w:numPr>
        <w:spacing w:after="80"/>
      </w:pPr>
      <w:r>
        <w:t xml:space="preserve">Custody outcome distribution by county as a public aggregate that enables real debate about standardization.</w:t>
      </w:r>
    </w:p>
    <w:p>
      <w:pPr>
        <w:pStyle w:val="ListParagraph"/>
        <w:numPr>
          <w:ilvl w:val="0"/>
          <w:numId w:val="2"/>
        </w:numPr>
        <w:spacing w:after="80"/>
      </w:pPr>
      <w:r>
        <w:t xml:space="preserve">Representation disparity metric ensures unrepresented fathers are visible.</w:t>
      </w:r>
    </w:p>
    <w:p>
      <w:pPr>
        <w:pStyle w:val="ListParagraph"/>
        <w:numPr>
          <w:ilvl w:val="0"/>
          <w:numId w:val="2"/>
        </w:numPr>
        <w:spacing w:after="80"/>
      </w:pPr>
      <w:r>
        <w:t xml:space="preserve">Direct Methodology Board seat with veto over one-sided metric adoption.</w:t>
      </w:r>
    </w:p>
    <w:p>
      <w:pPr>
        <w:pStyle w:val="Heading3"/>
      </w:pPr>
      <w:r>
        <w:t xml:space="preserve">Leave-Behind</w:t>
      </w:r>
    </w:p>
    <w:p>
      <w:pPr>
        <w:spacing w:after="160"/>
      </w:pPr>
      <w:r>
        <w:t xml:space="preserve">Framework overview plus Advocate role section focusing on bilateral measurement architecture.</w:t>
      </w:r>
    </w:p>
    <w:p>
      <w:pPr>
        <w:spacing w:after="40" w:before="240"/>
      </w:pPr>
      <w:r>
        <w:rPr>
          <w:b/>
          <w:bCs/>
          <w:color w:val="B8371F"/>
          <w:spacing w:val="40"/>
          <w:sz w:val="18"/>
          <w:szCs w:val="18"/>
        </w:rPr>
        <w:t xml:space="preserve">CONVERSATION 7</w:t>
      </w:r>
    </w:p>
    <w:p>
      <w:pPr>
        <w:pStyle w:val="Heading1"/>
      </w:pPr>
      <w:r>
        <w:t xml:space="preserve">Legislative Research / Judiciary Committee Staff</w:t>
      </w:r>
    </w:p>
    <w:p>
      <w:pPr>
        <w:pStyle w:val="Heading3"/>
      </w:pPr>
      <w:r>
        <w:t xml:space="preserve">Target</w:t>
      </w:r>
    </w:p>
    <w:p>
      <w:pPr>
        <w:spacing w:after="160"/>
      </w:pPr>
      <w:r>
        <w:t xml:space="preserve">Senior staff for the Missouri Senate Judiciary Committee and the House Judiciary Committee.</w:t>
      </w:r>
    </w:p>
    <w:p>
      <w:pPr>
        <w:pStyle w:val="Heading3"/>
      </w:pPr>
      <w:r>
        <w:t xml:space="preserve">Ask</w:t>
      </w:r>
    </w:p>
    <w:p>
      <w:pPr>
        <w:spacing w:after="160"/>
      </w:pPr>
      <w:r>
        <w:t xml:space="preserve">Awareness and informational relationship; no legislative request in Phase 1.</w:t>
      </w:r>
    </w:p>
    <w:p>
      <w:pPr>
        <w:pStyle w:val="Heading3"/>
      </w:pPr>
      <w:r>
        <w:t xml:space="preserve">Talking Points</w:t>
      </w:r>
    </w:p>
    <w:p>
      <w:pPr>
        <w:pStyle w:val="ListParagraph"/>
        <w:numPr>
          <w:ilvl w:val="0"/>
          <w:numId w:val="2"/>
        </w:numPr>
        <w:spacing w:after="80"/>
      </w:pPr>
      <w:r>
        <w:t xml:space="preserve">Explicitly state: "We are not asking for legislation now."</w:t>
      </w:r>
    </w:p>
    <w:p>
      <w:pPr>
        <w:pStyle w:val="ListParagraph"/>
        <w:numPr>
          <w:ilvl w:val="0"/>
          <w:numId w:val="2"/>
        </w:numPr>
        <w:spacing w:after="80"/>
      </w:pPr>
      <w:r>
        <w:t xml:space="preserve">The draft RSMo sections in Doc 05 are educational framing for later consideration.</w:t>
      </w:r>
    </w:p>
    <w:p>
      <w:pPr>
        <w:pStyle w:val="ListParagraph"/>
        <w:numPr>
          <w:ilvl w:val="0"/>
          <w:numId w:val="2"/>
        </w:numPr>
        <w:spacing w:after="80"/>
      </w:pPr>
      <w:r>
        <w:t xml:space="preserve">Offer to brief the committees at their invitation once pilot results are available.</w:t>
      </w:r>
    </w:p>
    <w:p>
      <w:pPr>
        <w:pStyle w:val="ListParagraph"/>
        <w:numPr>
          <w:ilvl w:val="0"/>
          <w:numId w:val="2"/>
        </w:numPr>
        <w:spacing w:after="80"/>
      </w:pPr>
      <w:r>
        <w:t xml:space="preserve">Emphasize no-fiscal-note, no-new-agency, voluntary-participation structure of the pilot.</w:t>
      </w:r>
    </w:p>
    <w:p>
      <w:pPr>
        <w:pStyle w:val="Heading3"/>
      </w:pPr>
      <w:r>
        <w:t xml:space="preserve">Leave-Behind</w:t>
      </w:r>
    </w:p>
    <w:p>
      <w:pPr>
        <w:spacing w:after="160"/>
      </w:pPr>
      <w:r>
        <w:t xml:space="preserve">Executive summary and framework overview only. The RSMo draft (Doc 05) is shared only upon specific request.</w:t>
      </w:r>
    </w:p>
    <w:p>
      <w:pPr>
        <w:spacing w:after="40" w:before="240"/>
      </w:pPr>
      <w:r>
        <w:rPr>
          <w:b/>
          <w:bCs/>
          <w:color w:val="B8371F"/>
          <w:spacing w:val="40"/>
          <w:sz w:val="18"/>
          <w:szCs w:val="18"/>
        </w:rPr>
        <w:t xml:space="preserve">CONVERSATION 8</w:t>
      </w:r>
    </w:p>
    <w:p>
      <w:pPr>
        <w:pStyle w:val="Heading1"/>
      </w:pPr>
      <w:r>
        <w:t xml:space="preserve">Philanthropic Funders</w:t>
      </w:r>
    </w:p>
    <w:p>
      <w:pPr>
        <w:pStyle w:val="Heading3"/>
      </w:pPr>
      <w:r>
        <w:t xml:space="preserve">Target</w:t>
      </w:r>
    </w:p>
    <w:p>
      <w:pPr>
        <w:spacing w:after="160"/>
      </w:pPr>
      <w:r>
        <w:t xml:space="preserve">Access-to-justice funders (LSC, Equal Justice Works partners, state-level bar foundations) and civic-tech-focused foundations (Hewlett, New America, specific family court funders).</w:t>
      </w:r>
    </w:p>
    <w:p>
      <w:pPr>
        <w:pStyle w:val="Heading3"/>
      </w:pPr>
      <w:r>
        <w:t xml:space="preserve">Ask</w:t>
      </w:r>
    </w:p>
    <w:p>
      <w:pPr>
        <w:spacing w:after="160"/>
      </w:pPr>
      <w:r>
        <w:t xml:space="preserve">Phase 1 funding commitment of $200-400k from a lead funder, with remaining $1M+ cultivated from a diversified stack.</w:t>
      </w:r>
    </w:p>
    <w:p>
      <w:pPr>
        <w:pStyle w:val="Heading3"/>
      </w:pPr>
      <w:r>
        <w:t xml:space="preserve">Talking Points</w:t>
      </w:r>
    </w:p>
    <w:p>
      <w:pPr>
        <w:pStyle w:val="ListParagraph"/>
        <w:numPr>
          <w:ilvl w:val="0"/>
          <w:numId w:val="2"/>
        </w:numPr>
        <w:spacing w:after="80"/>
      </w:pPr>
      <w:r>
        <w:t xml:space="preserve">Unique framework: no peer exists at the intersection of family court transparency and privacy engineering.</w:t>
      </w:r>
    </w:p>
    <w:p>
      <w:pPr>
        <w:pStyle w:val="ListParagraph"/>
        <w:numPr>
          <w:ilvl w:val="0"/>
          <w:numId w:val="2"/>
        </w:numPr>
        <w:spacing w:after="80"/>
      </w:pPr>
      <w:r>
        <w:t xml:space="preserve">Missouri pilot as replicable model — the real ROI is schema adoption by peer states.</w:t>
      </w:r>
    </w:p>
    <w:p>
      <w:pPr>
        <w:pStyle w:val="ListParagraph"/>
        <w:numPr>
          <w:ilvl w:val="0"/>
          <w:numId w:val="2"/>
        </w:numPr>
        <w:spacing w:after="80"/>
      </w:pPr>
      <w:r>
        <w:t xml:space="preserve">20% funder cap demonstrates our seriousness about independence.</w:t>
      </w:r>
    </w:p>
    <w:p>
      <w:pPr>
        <w:pStyle w:val="ListParagraph"/>
        <w:numPr>
          <w:ilvl w:val="0"/>
          <w:numId w:val="2"/>
        </w:numPr>
        <w:spacing w:after="80"/>
      </w:pPr>
      <w:r>
        <w:t xml:space="preserve">Clear 36-month milestones with measurable outcomes (see Doc 16).</w:t>
      </w:r>
    </w:p>
    <w:p>
      <w:pPr>
        <w:pStyle w:val="Heading3"/>
      </w:pPr>
      <w:r>
        <w:t xml:space="preserve">Leave-Behind</w:t>
      </w:r>
    </w:p>
    <w:p>
      <w:pPr>
        <w:spacing w:after="160"/>
      </w:pPr>
      <w:r>
        <w:t xml:space="preserve">Full binder with emphasis on Docs 11, 13, and 16.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220" w:sz="6" w:space="4"/>
      </w:pBdr>
      <w:tabs>
        <w:tab w:val="center" w:pos="4680"/>
        <w:tab w:val="right" w:pos="9026"/>
      </w:tabs>
    </w:pPr>
    <w:r>
      <w:rPr>
        <w:color w:val="555046"/>
        <w:sz w:val="16"/>
        <w:szCs w:val="16"/>
      </w:rPr>
      <w:t xml:space="preserve">A CoTrackPro Civic Publication</w:t>
    </w:r>
    <w:r>
      <w:t xml:space="preserve">	</w:t>
    </w:r>
    <w:r>
      <w:rPr>
        <w:color w:val="55504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t xml:space="preserve">	</w:t>
    </w:r>
    <w:r>
      <w:rPr>
        <w:color w:val="555046"/>
        <w:sz w:val="16"/>
        <w:szCs w:val="16"/>
      </w:rPr>
      <w:t xml:space="preserve">v0.3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220" w:sz="6" w:space="4"/>
      </w:pBdr>
      <w:tabs>
        <w:tab w:val="right" w:pos="9026"/>
      </w:tabs>
    </w:pPr>
    <w:r>
      <w:rPr>
        <w:b/>
        <w:bCs/>
        <w:color w:val="0D1220"/>
        <w:spacing w:val="30"/>
        <w:sz w:val="16"/>
        <w:szCs w:val="16"/>
      </w:rPr>
      <w:t xml:space="preserve">FAMILY COURT METRIC CATALOG</w:t>
    </w:r>
    <w:r>
      <w:t xml:space="preserve">	</w:t>
    </w:r>
    <w:r>
      <w:rPr>
        <w:color w:val="555046"/>
        <w:spacing w:val="20"/>
        <w:sz w:val="16"/>
        <w:szCs w:val="16"/>
      </w:rPr>
      <w:t xml:space="preserve">DOC 14 · STAKEHOLDER CALL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122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D122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12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2026-04-20T23:18:43.361Z</dcterms:created>
  <dcterms:modified xsi:type="dcterms:W3CDTF">2026-04-20T23:18:43.361Z</dcterms:modified>
</cp:coreProperties>
</file>

<file path=docProps/custom.xml><?xml version="1.0" encoding="utf-8"?>
<Properties xmlns="http://schemas.openxmlformats.org/officeDocument/2006/custom-properties" xmlns:vt="http://schemas.openxmlformats.org/officeDocument/2006/docPropsVTypes"/>
</file>