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03</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Disclosure Tier</w:t>
      </w:r>
    </w:p>
    <w:p>
      <w:pPr>
        <w:spacing w:after="240"/>
      </w:pPr>
      <w:r>
        <w:rPr>
          <w:b/>
          <w:bCs/>
          <w:color w:val="0D1220"/>
          <w:sz w:val="52"/>
          <w:szCs w:val="52"/>
        </w:rPr>
        <w:t xml:space="preserve">Reference Guide</w:t>
      </w:r>
    </w:p>
    <w:p>
      <w:pPr>
        <w:spacing w:after="400"/>
      </w:pPr>
      <w:r>
        <w:rPr>
          <w:color w:val="1F2744"/>
          <w:sz w:val="26"/>
          <w:szCs w:val="26"/>
        </w:rPr>
        <w:t xml:space="preserve">The four-tier architecture that governs what may be published, to whom, and under what conditions.</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Privacy Officers, Legal Counsel, Stakeholders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PURPOSE</w:t>
      </w:r>
    </w:p>
    <w:p>
      <w:pPr>
        <w:pStyle w:val="Heading1"/>
      </w:pPr>
      <w:r>
        <w:t xml:space="preserve">Why Tiering Matters</w:t>
      </w:r>
    </w:p>
    <w:p>
      <w:pPr>
        <w:spacing w:after="160"/>
      </w:pPr>
      <w:r>
        <w:t xml:space="preserve">Transparency is not a single thing. Some data is safe to publish to the general public. Some data is safe only when gated by a data-use agreement and IRB review. Some data should never leave the user who generated it. Some data should not exist outside the moment it is collected.</w:t>
      </w:r>
    </w:p>
    <w:p>
      <w:pPr>
        <w:spacing w:after="160"/>
      </w:pPr>
      <w:r>
        <w:t xml:space="preserve">The four-tier disclosure architecture makes these distinctions operational. Every metric in the catalog is assigned exactly one tier. The tier determines the publication pathway, the audit requirements, and the legal protections that apply.</w:t>
      </w:r>
    </w:p>
    <w:p>
      <w:pPr>
        <w:spacing w:after="40" w:before="240"/>
      </w:pPr>
      <w:r>
        <w:rPr>
          <w:b/>
          <w:bCs/>
          <w:color w:val="B8371F"/>
          <w:spacing w:val="40"/>
          <w:sz w:val="18"/>
          <w:szCs w:val="18"/>
        </w:rPr>
        <w:t xml:space="preserve">TIER A</w:t>
      </w:r>
    </w:p>
    <w:p>
      <w:pPr>
        <w:pStyle w:val="Heading1"/>
      </w:pPr>
      <w:r>
        <w:t xml:space="preserve">Public</w:t>
      </w:r>
    </w:p>
    <w:p>
      <w:pPr>
        <w:pStyle w:val="Heading3"/>
      </w:pPr>
      <w:r>
        <w:t xml:space="preserve">Definition</w:t>
      </w:r>
    </w:p>
    <w:p>
      <w:pPr>
        <w:spacing w:after="160"/>
      </w:pPr>
      <w:r>
        <w:t xml:space="preserve">Aggregate, de-identified metrics publishable to the general public through the Catalog's public dashboard and API.</w:t>
      </w:r>
    </w:p>
    <w:p>
      <w:pPr>
        <w:pStyle w:val="Heading3"/>
      </w:pPr>
      <w:r>
        <w:t xml:space="preserve">Protections</w:t>
      </w:r>
    </w:p>
    <w:p>
      <w:pPr>
        <w:pStyle w:val="ListParagraph"/>
        <w:numPr>
          <w:ilvl w:val="0"/>
          <w:numId w:val="2"/>
        </w:numPr>
        <w:spacing w:after="80"/>
      </w:pPr>
      <w:r>
        <w:t xml:space="preserve">Minimum cell size of 10 required for any published value.</w:t>
      </w:r>
    </w:p>
    <w:p>
      <w:pPr>
        <w:pStyle w:val="ListParagraph"/>
        <w:numPr>
          <w:ilvl w:val="0"/>
          <w:numId w:val="2"/>
        </w:numPr>
        <w:spacing w:after="80"/>
      </w:pPr>
      <w:r>
        <w:t xml:space="preserve">Differential privacy noise applied to small cells (n &lt; 30).</w:t>
      </w:r>
    </w:p>
    <w:p>
      <w:pPr>
        <w:pStyle w:val="ListParagraph"/>
        <w:numPr>
          <w:ilvl w:val="0"/>
          <w:numId w:val="2"/>
        </w:numPr>
        <w:spacing w:after="80"/>
      </w:pPr>
      <w:r>
        <w:t xml:space="preserve">Geographic granularity capped at county for most metrics; finer granularity requires higher cell-size thresholds.</w:t>
      </w:r>
    </w:p>
    <w:p>
      <w:pPr>
        <w:pStyle w:val="ListParagraph"/>
        <w:numPr>
          <w:ilvl w:val="0"/>
          <w:numId w:val="2"/>
        </w:numPr>
        <w:spacing w:after="80"/>
      </w:pPr>
      <w:r>
        <w:t xml:space="preserve">Re-identification testing performed quarterly by an independent reviewer.</w:t>
      </w:r>
    </w:p>
    <w:p>
      <w:pPr>
        <w:pStyle w:val="Heading3"/>
      </w:pPr>
      <w:r>
        <w:t xml:space="preserve">Examples</w:t>
      </w:r>
    </w:p>
    <w:p>
      <w:pPr>
        <w:pStyle w:val="ListParagraph"/>
        <w:numPr>
          <w:ilvl w:val="0"/>
          <w:numId w:val="2"/>
        </w:numPr>
        <w:spacing w:after="80"/>
      </w:pPr>
      <w:r>
        <w:t xml:space="preserve">Case filings by type per 1,000 population.</w:t>
      </w:r>
    </w:p>
    <w:p>
      <w:pPr>
        <w:pStyle w:val="ListParagraph"/>
        <w:numPr>
          <w:ilvl w:val="0"/>
          <w:numId w:val="2"/>
        </w:numPr>
        <w:spacing w:after="80"/>
      </w:pPr>
      <w:r>
        <w:t xml:space="preserve">Median time to disposition by case type and circuit.</w:t>
      </w:r>
    </w:p>
    <w:p>
      <w:pPr>
        <w:pStyle w:val="ListParagraph"/>
        <w:numPr>
          <w:ilvl w:val="0"/>
          <w:numId w:val="2"/>
        </w:numPr>
        <w:spacing w:after="80"/>
      </w:pPr>
      <w:r>
        <w:t xml:space="preserve">Clearance rate, rolling quarterly.</w:t>
      </w:r>
    </w:p>
    <w:p>
      <w:pPr>
        <w:pStyle w:val="Heading3"/>
      </w:pPr>
      <w:r>
        <w:t xml:space="preserve">Access</w:t>
      </w:r>
    </w:p>
    <w:p>
      <w:pPr>
        <w:spacing w:after="160"/>
      </w:pPr>
      <w:r>
        <w:t xml:space="preserve">No authentication required. Published via public API under open data terms. CC-BY license with attribution.</w:t>
      </w:r>
    </w:p>
    <w:p>
      <w:r>
        <w:br w:type="page"/>
      </w:r>
    </w:p>
    <w:p>
      <w:pPr>
        <w:spacing w:after="40" w:before="240"/>
      </w:pPr>
      <w:r>
        <w:rPr>
          <w:b/>
          <w:bCs/>
          <w:color w:val="B8371F"/>
          <w:spacing w:val="40"/>
          <w:sz w:val="18"/>
          <w:szCs w:val="18"/>
        </w:rPr>
        <w:t xml:space="preserve">TIER B</w:t>
      </w:r>
    </w:p>
    <w:p>
      <w:pPr>
        <w:pStyle w:val="Heading1"/>
      </w:pPr>
      <w:r>
        <w:t xml:space="preserve">Oversight · DUA</w:t>
      </w:r>
    </w:p>
    <w:p>
      <w:pPr>
        <w:pStyle w:val="Heading3"/>
      </w:pPr>
      <w:r>
        <w:t xml:space="preserve">Definition</w:t>
      </w:r>
    </w:p>
    <w:p>
      <w:pPr>
        <w:spacing w:after="160"/>
      </w:pPr>
      <w:r>
        <w:t xml:space="preserve">De-identified data with narrower access, gated by a formal Data Use Agreement and, where applicable, IRB approval.</w:t>
      </w:r>
    </w:p>
    <w:p>
      <w:pPr>
        <w:pStyle w:val="Heading3"/>
      </w:pPr>
      <w:r>
        <w:t xml:space="preserve">Protections</w:t>
      </w:r>
    </w:p>
    <w:p>
      <w:pPr>
        <w:pStyle w:val="ListParagraph"/>
        <w:numPr>
          <w:ilvl w:val="0"/>
          <w:numId w:val="2"/>
        </w:numPr>
        <w:spacing w:after="80"/>
      </w:pPr>
      <w:r>
        <w:t xml:space="preserve">DUA required before access, with signature from institution's authorized official.</w:t>
      </w:r>
    </w:p>
    <w:p>
      <w:pPr>
        <w:pStyle w:val="ListParagraph"/>
        <w:numPr>
          <w:ilvl w:val="0"/>
          <w:numId w:val="2"/>
        </w:numPr>
        <w:spacing w:after="80"/>
      </w:pPr>
      <w:r>
        <w:t xml:space="preserve">IRB approval required for any research involving linkage or inference.</w:t>
      </w:r>
    </w:p>
    <w:p>
      <w:pPr>
        <w:pStyle w:val="ListParagraph"/>
        <w:numPr>
          <w:ilvl w:val="0"/>
          <w:numId w:val="2"/>
        </w:numPr>
        <w:spacing w:after="80"/>
      </w:pPr>
      <w:r>
        <w:t xml:space="preserve">Re-identification attempts expressly prohibited; violation triggers permanent revocation.</w:t>
      </w:r>
    </w:p>
    <w:p>
      <w:pPr>
        <w:pStyle w:val="ListParagraph"/>
        <w:numPr>
          <w:ilvl w:val="0"/>
          <w:numId w:val="2"/>
        </w:numPr>
        <w:spacing w:after="80"/>
      </w:pPr>
      <w:r>
        <w:t xml:space="preserve">Every query logged in audit trail accessible to the Methodology Board.</w:t>
      </w:r>
    </w:p>
    <w:p>
      <w:pPr>
        <w:pStyle w:val="ListParagraph"/>
        <w:numPr>
          <w:ilvl w:val="0"/>
          <w:numId w:val="2"/>
        </w:numPr>
        <w:spacing w:after="80"/>
      </w:pPr>
      <w:r>
        <w:t xml:space="preserve">Short-lived STS credentials issued per session, not per user.</w:t>
      </w:r>
    </w:p>
    <w:p>
      <w:pPr>
        <w:pStyle w:val="Heading3"/>
      </w:pPr>
      <w:r>
        <w:t xml:space="preserve">Examples</w:t>
      </w:r>
    </w:p>
    <w:p>
      <w:pPr>
        <w:pStyle w:val="ListParagraph"/>
        <w:numPr>
          <w:ilvl w:val="0"/>
          <w:numId w:val="2"/>
        </w:numPr>
        <w:spacing w:after="80"/>
      </w:pPr>
      <w:r>
        <w:t xml:space="preserve">Judge-level consistency scores (private to individual judge).</w:t>
      </w:r>
    </w:p>
    <w:p>
      <w:pPr>
        <w:pStyle w:val="ListParagraph"/>
        <w:numPr>
          <w:ilvl w:val="0"/>
          <w:numId w:val="2"/>
        </w:numPr>
        <w:spacing w:after="80"/>
      </w:pPr>
      <w:r>
        <w:t xml:space="preserve">Longitudinal case outcome dataset (academic researchers under DUA).</w:t>
      </w:r>
    </w:p>
    <w:p>
      <w:pPr>
        <w:pStyle w:val="ListParagraph"/>
        <w:numPr>
          <w:ilvl w:val="0"/>
          <w:numId w:val="2"/>
        </w:numPr>
        <w:spacing w:after="80"/>
      </w:pPr>
      <w:r>
        <w:t xml:space="preserve">Critical incident flag aggregates (regulator safety oversight).</w:t>
      </w:r>
    </w:p>
    <w:p>
      <w:pPr>
        <w:pStyle w:val="Heading3"/>
      </w:pPr>
      <w:r>
        <w:t xml:space="preserve">Access</w:t>
      </w:r>
    </w:p>
    <w:p>
      <w:pPr>
        <w:spacing w:after="160"/>
      </w:pPr>
      <w:r>
        <w:t xml:space="preserve">Application required. Review by Data Ethics Committee. Institutional rather than individual access.</w:t>
      </w:r>
    </w:p>
    <w:p>
      <w:pPr>
        <w:spacing w:after="40" w:before="240"/>
      </w:pPr>
      <w:r>
        <w:rPr>
          <w:b/>
          <w:bCs/>
          <w:color w:val="B8371F"/>
          <w:spacing w:val="40"/>
          <w:sz w:val="18"/>
          <w:szCs w:val="18"/>
        </w:rPr>
        <w:t xml:space="preserve">TIER C</w:t>
      </w:r>
    </w:p>
    <w:p>
      <w:pPr>
        <w:pStyle w:val="Heading1"/>
      </w:pPr>
      <w:r>
        <w:t xml:space="preserve">User-Owned</w:t>
      </w:r>
    </w:p>
    <w:p>
      <w:pPr>
        <w:pStyle w:val="Heading3"/>
      </w:pPr>
      <w:r>
        <w:t xml:space="preserve">Definition</w:t>
      </w:r>
    </w:p>
    <w:p>
      <w:pPr>
        <w:spacing w:after="160"/>
      </w:pPr>
      <w:r>
        <w:t xml:space="preserve">Data where the individual user retains ownership and control. Only aggregates leave the user's environment, and only after explicit opt-in consent.</w:t>
      </w:r>
    </w:p>
    <w:p>
      <w:pPr>
        <w:pStyle w:val="Heading3"/>
      </w:pPr>
      <w:r>
        <w:t xml:space="preserve">Protections</w:t>
      </w:r>
    </w:p>
    <w:p>
      <w:pPr>
        <w:pStyle w:val="ListParagraph"/>
        <w:numPr>
          <w:ilvl w:val="0"/>
          <w:numId w:val="2"/>
        </w:numPr>
        <w:spacing w:after="80"/>
      </w:pPr>
      <w:r>
        <w:t xml:space="preserve">User can withdraw consent at any time, triggering removal of their data from future aggregates.</w:t>
      </w:r>
    </w:p>
    <w:p>
      <w:pPr>
        <w:pStyle w:val="ListParagraph"/>
        <w:numPr>
          <w:ilvl w:val="0"/>
          <w:numId w:val="2"/>
        </w:numPr>
        <w:spacing w:after="80"/>
      </w:pPr>
      <w:r>
        <w:t xml:space="preserve">Raw content (message text, log contents) never leaves the user's account or platform.</w:t>
      </w:r>
    </w:p>
    <w:p>
      <w:pPr>
        <w:pStyle w:val="ListParagraph"/>
        <w:numPr>
          <w:ilvl w:val="0"/>
          <w:numId w:val="2"/>
        </w:numPr>
        <w:spacing w:after="80"/>
      </w:pPr>
      <w:r>
        <w:t xml:space="preserve">Only scored features, not raw content, contribute to aggregates.</w:t>
      </w:r>
    </w:p>
    <w:p>
      <w:pPr>
        <w:pStyle w:val="ListParagraph"/>
        <w:numPr>
          <w:ilvl w:val="0"/>
          <w:numId w:val="2"/>
        </w:numPr>
        <w:spacing w:after="80"/>
      </w:pPr>
      <w:r>
        <w:t xml:space="preserve">Evidentiary shield: user compliance data is not admissible in litigation without the user's express written consent (see Document 05, RSMo § 452.317 draft).</w:t>
      </w:r>
    </w:p>
    <w:p>
      <w:pPr>
        <w:pStyle w:val="Heading3"/>
      </w:pPr>
      <w:r>
        <w:t xml:space="preserve">Examples</w:t>
      </w:r>
    </w:p>
    <w:p>
      <w:pPr>
        <w:pStyle w:val="ListParagraph"/>
        <w:numPr>
          <w:ilvl w:val="0"/>
          <w:numId w:val="2"/>
        </w:numPr>
        <w:spacing w:after="80"/>
      </w:pPr>
      <w:r>
        <w:t xml:space="preserve">Parenting time compliance rate.</w:t>
      </w:r>
    </w:p>
    <w:p>
      <w:pPr>
        <w:pStyle w:val="ListParagraph"/>
        <w:numPr>
          <w:ilvl w:val="0"/>
          <w:numId w:val="2"/>
        </w:numPr>
        <w:spacing w:after="80"/>
      </w:pPr>
      <w:r>
        <w:t xml:space="preserve">Child contact gap.</w:t>
      </w:r>
    </w:p>
    <w:p>
      <w:pPr>
        <w:pStyle w:val="ListParagraph"/>
        <w:numPr>
          <w:ilvl w:val="0"/>
          <w:numId w:val="2"/>
        </w:numPr>
        <w:spacing w:after="80"/>
      </w:pPr>
      <w:r>
        <w:t xml:space="preserve">Conflict intensity trajectory.</w:t>
      </w:r>
    </w:p>
    <w:p>
      <w:pPr>
        <w:pStyle w:val="ListParagraph"/>
        <w:numPr>
          <w:ilvl w:val="0"/>
          <w:numId w:val="2"/>
        </w:numPr>
        <w:spacing w:after="80"/>
      </w:pPr>
      <w:r>
        <w:t xml:space="preserve">Bilateral violation tracking.</w:t>
      </w:r>
    </w:p>
    <w:p>
      <w:pPr>
        <w:pStyle w:val="Heading3"/>
      </w:pPr>
      <w:r>
        <w:t xml:space="preserve">Access</w:t>
      </w:r>
    </w:p>
    <w:p>
      <w:pPr>
        <w:spacing w:after="160"/>
      </w:pPr>
      <w:r>
        <w:t xml:space="preserve">Users access their own data freely. Aggregates follow Tier A or B pathways depending on downstream use.</w:t>
      </w:r>
    </w:p>
    <w:p>
      <w:r>
        <w:br w:type="page"/>
      </w:r>
    </w:p>
    <w:p>
      <w:pPr>
        <w:spacing w:after="40" w:before="240"/>
      </w:pPr>
      <w:r>
        <w:rPr>
          <w:b/>
          <w:bCs/>
          <w:color w:val="B8371F"/>
          <w:spacing w:val="40"/>
          <w:sz w:val="18"/>
          <w:szCs w:val="18"/>
        </w:rPr>
        <w:t xml:space="preserve">TIER D</w:t>
      </w:r>
    </w:p>
    <w:p>
      <w:pPr>
        <w:pStyle w:val="Heading1"/>
      </w:pPr>
      <w:r>
        <w:t xml:space="preserve">Never Disclosed</w:t>
      </w:r>
    </w:p>
    <w:p>
      <w:pPr>
        <w:pStyle w:val="Heading3"/>
      </w:pPr>
      <w:r>
        <w:t xml:space="preserve">Definition</w:t>
      </w:r>
    </w:p>
    <w:p>
      <w:pPr>
        <w:spacing w:after="160"/>
      </w:pPr>
      <w:r>
        <w:t xml:space="preserve">Data that is either protected by statute, carries irreversible harm potential, or serves only operational purposes and has no research or public value that justifies any level of disclosure.</w:t>
      </w:r>
    </w:p>
    <w:p>
      <w:pPr>
        <w:pStyle w:val="Heading3"/>
      </w:pPr>
      <w:r>
        <w:t xml:space="preserve">Protections</w:t>
      </w:r>
    </w:p>
    <w:p>
      <w:pPr>
        <w:pStyle w:val="ListParagraph"/>
        <w:numPr>
          <w:ilvl w:val="0"/>
          <w:numId w:val="2"/>
        </w:numPr>
        <w:spacing w:after="80"/>
      </w:pPr>
      <w:r>
        <w:t xml:space="preserve">Never published at any granularity.</w:t>
      </w:r>
    </w:p>
    <w:p>
      <w:pPr>
        <w:pStyle w:val="ListParagraph"/>
        <w:numPr>
          <w:ilvl w:val="0"/>
          <w:numId w:val="2"/>
        </w:numPr>
        <w:spacing w:after="80"/>
      </w:pPr>
      <w:r>
        <w:t xml:space="preserve">Retention limited to operational necessity; typically destroyed on a schedule.</w:t>
      </w:r>
    </w:p>
    <w:p>
      <w:pPr>
        <w:pStyle w:val="ListParagraph"/>
        <w:numPr>
          <w:ilvl w:val="0"/>
          <w:numId w:val="2"/>
        </w:numPr>
        <w:spacing w:after="80"/>
      </w:pPr>
      <w:r>
        <w:t xml:space="preserve">Access to raw data restricted to operational systems with purpose-specific authorization.</w:t>
      </w:r>
    </w:p>
    <w:p>
      <w:pPr>
        <w:pStyle w:val="ListParagraph"/>
        <w:numPr>
          <w:ilvl w:val="0"/>
          <w:numId w:val="2"/>
        </w:numPr>
        <w:spacing w:after="80"/>
      </w:pPr>
      <w:r>
        <w:t xml:space="preserve">No research use. No DUA pathway.</w:t>
      </w:r>
    </w:p>
    <w:p>
      <w:pPr>
        <w:pStyle w:val="Heading3"/>
      </w:pPr>
      <w:r>
        <w:t xml:space="preserve">Examples</w:t>
      </w:r>
    </w:p>
    <w:p>
      <w:pPr>
        <w:pStyle w:val="ListParagraph"/>
        <w:numPr>
          <w:ilvl w:val="0"/>
          <w:numId w:val="2"/>
        </w:numPr>
        <w:spacing w:after="80"/>
      </w:pPr>
      <w:r>
        <w:t xml:space="preserve">Child wellbeing self-reports (aggregate-only release with periodic destruction).</w:t>
      </w:r>
    </w:p>
    <w:p>
      <w:pPr>
        <w:pStyle w:val="ListParagraph"/>
        <w:numPr>
          <w:ilvl w:val="0"/>
          <w:numId w:val="2"/>
        </w:numPr>
        <w:spacing w:after="80"/>
      </w:pPr>
      <w:r>
        <w:t xml:space="preserve">Raw crisis communications flagged for safety review.</w:t>
      </w:r>
    </w:p>
    <w:p>
      <w:pPr>
        <w:pStyle w:val="ListParagraph"/>
        <w:numPr>
          <w:ilvl w:val="0"/>
          <w:numId w:val="2"/>
        </w:numPr>
        <w:spacing w:after="80"/>
      </w:pPr>
      <w:r>
        <w:t xml:space="preserve">Individual-level protective order petition content.</w:t>
      </w:r>
    </w:p>
    <w:p>
      <w:pPr>
        <w:pStyle w:val="Heading3"/>
      </w:pPr>
      <w:r>
        <w:t xml:space="preserve">Access</w:t>
      </w:r>
    </w:p>
    <w:p>
      <w:pPr>
        <w:spacing w:after="160"/>
      </w:pPr>
      <w:r>
        <w:t xml:space="preserve">Operational systems only. No external access. No aggregate release except as explicitly authorized and with cohort minimums well above standard k-anonymity.</w:t>
      </w:r>
    </w:p>
    <w:p>
      <w:pPr>
        <w:spacing w:after="40" w:before="240"/>
      </w:pPr>
      <w:r>
        <w:rPr>
          <w:b/>
          <w:bCs/>
          <w:color w:val="B8371F"/>
          <w:spacing w:val="40"/>
          <w:sz w:val="18"/>
          <w:szCs w:val="18"/>
        </w:rPr>
        <w:t xml:space="preserve">CROSSWALK</w:t>
      </w:r>
    </w:p>
    <w:p>
      <w:pPr>
        <w:pStyle w:val="Heading1"/>
      </w:pPr>
      <w:r>
        <w:t xml:space="preserve">Tier × Visibility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rPr>
          <w:tblHeader/>
        </w:trPr>
        <w:tc>
          <w:tcPr>
            <w:tcW w:type="dxa" w:w="2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VISIBILITY →</w:t>
            </w:r>
          </w:p>
        </w:tc>
        <w:tc>
          <w:tcPr>
            <w:tcW w:type="dxa" w:w="2333"/>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VISIBLE</w:t>
            </w:r>
          </w:p>
        </w:tc>
        <w:tc>
          <w:tcPr>
            <w:tcW w:type="dxa" w:w="2333"/>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HIDDEN</w:t>
            </w:r>
          </w:p>
        </w:tc>
        <w:tc>
          <w:tcPr>
            <w:tcW w:type="dxa" w:w="2334"/>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MISSING</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Tier A</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18 metrics</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10 metrics</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 metrics</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Tier B</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 metric</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11 metrics</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12 metrics</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Tier C</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14 metrics</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Tier D</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 metric</w:t>
            </w:r>
          </w:p>
        </w:tc>
      </w:tr>
    </w:tbl>
    <w:p>
      <w:pPr>
        <w:spacing w:after="160"/>
      </w:pPr>
      <w:r>
        <w:t xml:space="preserve">Visibility describes whether the data could be shown today. Tier describes under what conditions it is permitted to show. A Tier A metric in the "Missing" column means: it would be safe to publish if only someone were measuring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03 · DISCLOSURE TIER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2026-04-20T23:18:42.590Z</dcterms:created>
  <dcterms:modified xsi:type="dcterms:W3CDTF">2026-04-20T23:18:42.590Z</dcterms:modified>
</cp:coreProperties>
</file>

<file path=docProps/custom.xml><?xml version="1.0" encoding="utf-8"?>
<Properties xmlns="http://schemas.openxmlformats.org/officeDocument/2006/custom-properties" xmlns:vt="http://schemas.openxmlformats.org/officeDocument/2006/docPropsVTypes"/>
</file>