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20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Binder Index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&amp; Reading Guide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A map of the 20-document OSCA Outreach Binder, with suggested reading paths by audience.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All Recipients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ABOUT THIS BINDER</w:t>
      </w:r>
    </w:p>
    <w:p>
      <w:pPr>
        <w:pStyle w:val="Heading1"/>
      </w:pPr>
      <w:r>
        <w:t xml:space="preserve">What You Are Holding</w:t>
      </w:r>
    </w:p>
    <w:p>
      <w:pPr>
        <w:spacing w:after="160"/>
      </w:pPr>
      <w:r>
        <w:t xml:space="preserve">This binder contains twenty documents that together describe the Family Court Metric Catalog and a proposed Missouri pilot. The binder is designed to be read in the order most useful to you, not cover-to-cover. The reading paths below identify the shortest useful sequence for each audience.</w:t>
      </w:r>
    </w:p>
    <w:p>
      <w:pPr>
        <w:spacing w:after="160"/>
      </w:pPr>
      <w:r>
        <w:t xml:space="preserve">Every document in this binder is a standalone artifact. You can read Document 12 without having read Document 11. You can read the Methodology Handbook entries for your role without reading the other chapters. Documents cross-reference each other but do not depend on prior reading.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FULL INDEX</w:t>
      </w:r>
    </w:p>
    <w:p>
      <w:pPr>
        <w:pStyle w:val="Heading1"/>
      </w:pPr>
      <w:r>
        <w:t xml:space="preserve">All Twenty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DOC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TIME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Cover Letter &amp; Executive 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Start here. Two-page opening.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 Overview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8-page briefing on why, what, and how.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Catalog at a Glance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72 metrics in one summary table.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Disclosure Tier Reference Guide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A/B/C/D architecture explained.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Pilot County Selection Memo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Why St. Louis, Greene, Boone.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Proposed RSMo Statute Language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 statute framing (educational only).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OSCA Data-Sharing MOU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 MOU template.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Board Charter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Governance composition and operating rules.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Ethics Review Charter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Independent privacy/harm review body.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Metric Adoption Workflow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5-stage process from proposal to publication.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Risk Register &amp; Mitigation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Identified risks with likelihood and mitigation.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Technical Architecture 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model, API, IAM, rollout.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Privacy &amp; De-Identification Pipeline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Five-gate privacy architecture.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Budget Narrative &amp; Line-Items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$1.43M over 36 months, funding sources.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Stakeholder Call Sheet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Eight prioritized outreach conversations.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Communications Timeline &amp; Rollout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Eight-phase comms plan, messaging frames.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Success Criteria &amp; Evaluation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MVP, Target, Stretch success levels.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Research DUA Template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 DUA for academic partners.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Press / FAQ Briefing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Plain-language answers by audience.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Handbook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90-120 min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72 metrics, full operational spec.</w:t>
            </w:r>
          </w:p>
        </w:tc>
      </w:tr>
    </w:tbl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READING PATHS</w:t>
      </w:r>
    </w:p>
    <w:p>
      <w:pPr>
        <w:pStyle w:val="Heading1"/>
      </w:pPr>
      <w:r>
        <w:t xml:space="preserve">Suggested Sequences by Audience</w:t>
      </w:r>
    </w:p>
    <w:p>
      <w:pPr>
        <w:pStyle w:val="Heading2"/>
      </w:pPr>
      <w:r>
        <w:t xml:space="preserve">For OSCA Research and Statistics (60 min)</w:t>
      </w:r>
    </w:p>
    <w:p>
      <w:pPr>
        <w:spacing w:after="160"/>
      </w:pPr>
      <w:r>
        <w:t xml:space="preserve">00 (Exec Summary) → 01 (Framework Overview) → 06 (MOU Draft) → 11 (Tech Architecture). If time remains, 12 (Privacy Pipeline) and 18 (FAQ).</w:t>
      </w:r>
    </w:p>
    <w:p>
      <w:pPr>
        <w:pStyle w:val="Heading2"/>
      </w:pPr>
      <w:r>
        <w:t xml:space="preserve">For a Presiding Judge (45 min)</w:t>
      </w:r>
    </w:p>
    <w:p>
      <w:pPr>
        <w:spacing w:after="160"/>
      </w:pPr>
      <w:r>
        <w:t xml:space="preserve">00 (Exec Summary) → 01 (Framework Overview) → 04 (Pilot County Selection) → the Judge chapter of 19 (Methodology Handbook). If time remains, 07 (Methodology Board Charter).</w:t>
      </w:r>
    </w:p>
    <w:p>
      <w:pPr>
        <w:pStyle w:val="Heading2"/>
      </w:pPr>
      <w:r>
        <w:t xml:space="preserve">For a DV Advocate (60 min)</w:t>
      </w:r>
    </w:p>
    <w:p>
      <w:pPr>
        <w:spacing w:after="160"/>
      </w:pPr>
      <w:r>
        <w:t xml:space="preserve">00 (Exec Summary) → 03 (Disclosure Tier Guide) → 12 (Privacy Pipeline) → 08 (Data Ethics Review Charter) → the Advocate chapter of 19. This path emphasizes the protective architecture.</w:t>
      </w:r>
    </w:p>
    <w:p>
      <w:pPr>
        <w:pStyle w:val="Heading2"/>
      </w:pPr>
      <w:r>
        <w:t xml:space="preserve">For a Bar Association Leader (60 min)</w:t>
      </w:r>
    </w:p>
    <w:p>
      <w:pPr>
        <w:spacing w:after="160"/>
      </w:pPr>
      <w:r>
        <w:t xml:space="preserve">00 (Exec Summary) → 01 (Framework Overview) → 07 (Methodology Board Charter) → the Attorney chapter of 19 (Methodology Handbook) → 17 (Research DUA Template, optional).</w:t>
      </w:r>
    </w:p>
    <w:p>
      <w:pPr>
        <w:pStyle w:val="Heading2"/>
      </w:pPr>
      <w:r>
        <w:t xml:space="preserve">For an Academic Partner (90 min)</w:t>
      </w:r>
    </w:p>
    <w:p>
      <w:pPr>
        <w:spacing w:after="160"/>
      </w:pPr>
      <w:r>
        <w:t xml:space="preserve">01 (Framework Overview) → 11 (Tech Architecture) → 12 (Privacy Pipeline) → 17 (Research DUA) → the Researcher chapter of 19. This path emphasizes the research capability.</w:t>
      </w:r>
    </w:p>
    <w:p>
      <w:pPr>
        <w:pStyle w:val="Heading2"/>
      </w:pPr>
      <w:r>
        <w:t xml:space="preserve">For a Funder (75 min)</w:t>
      </w:r>
    </w:p>
    <w:p>
      <w:pPr>
        <w:spacing w:after="160"/>
      </w:pPr>
      <w:r>
        <w:t xml:space="preserve">00 (Exec Summary) → 01 (Framework Overview) → 04 (Pilot County Selection) → 13 (Budget) → 16 (Success Criteria) → 10 (Risk Register).</w:t>
      </w:r>
    </w:p>
    <w:p>
      <w:pPr>
        <w:pStyle w:val="Heading2"/>
      </w:pPr>
      <w:r>
        <w:t xml:space="preserve">For a Journalist (45 min)</w:t>
      </w:r>
    </w:p>
    <w:p>
      <w:pPr>
        <w:spacing w:after="160"/>
      </w:pPr>
      <w:r>
        <w:t xml:space="preserve">01 (Framework Overview) → 18 (Press/FAQ) → 02 (Catalog at a Glance) → 03 (Disclosure Tier Guide, reference as needed).</w:t>
      </w:r>
    </w:p>
    <w:p>
      <w:pPr>
        <w:pStyle w:val="Heading2"/>
      </w:pPr>
      <w:r>
        <w:t xml:space="preserve">For a Legislator or Legislative Staff (30 min, zero commitment)</w:t>
      </w:r>
    </w:p>
    <w:p>
      <w:pPr>
        <w:spacing w:after="160"/>
      </w:pPr>
      <w:r>
        <w:t xml:space="preserve">00 (Exec Summary only). Additional materials available on specific request. Note: we are explicitly not asking for legislation in Phase 1; see the sequencing guidance in Document 05.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DOCUMENT FORMATS</w:t>
      </w:r>
    </w:p>
    <w:p>
      <w:pPr>
        <w:pStyle w:val="Heading1"/>
      </w:pPr>
      <w:r>
        <w:t xml:space="preserve">How to Share These Materials</w:t>
      </w:r>
    </w:p>
    <w:p>
      <w:pPr>
        <w:spacing w:after="160"/>
      </w:pPr>
      <w:r>
        <w:t xml:space="preserve">Every document in this binder is provided as a Word (.docx) file to enable simple excerpting, comment-review workflows, and local edits. PDF versions can be produced on request. The binder is also available as a zip archive for easy transfer.</w:t>
      </w:r>
    </w:p>
    <w:p>
      <w:pPr>
        <w:spacing w:after="160"/>
      </w:pPr>
      <w:r>
        <w:t xml:space="preserve">Sharing is not restricted. Documents may be excerpted, quoted, and redistributed freely. We ask only that excerpts include a citation to the source document and the version ("Family Court Metric Catalog, Binder v0.3, Document XX").</w:t>
      </w:r>
    </w:p>
    <w:p>
      <w:pPr>
        <w:spacing w:after="160"/>
      </w:pPr>
      <w:r>
        <w:t xml:space="preserve">Corrections and suggestions are welcome. Please send them to [email TBD] with the document number and line reference.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CONTACT</w:t>
      </w:r>
    </w:p>
    <w:p>
      <w:pPr>
        <w:pStyle w:val="Heading1"/>
      </w:pPr>
      <w:r>
        <w:t xml:space="preserve">For Questions or Follow-Up</w:t>
      </w:r>
    </w:p>
    <w:p>
      <w:pPr>
        <w:spacing w:after="160"/>
      </w:pPr>
      <w:r>
        <w:t xml:space="preserve">Doug Devitre</w:t>
      </w:r>
    </w:p>
    <w:p>
      <w:pPr>
        <w:spacing w:after="160"/>
      </w:pPr>
      <w:r>
        <w:t xml:space="preserve">Founder, CoTrackPro</w:t>
      </w:r>
    </w:p>
    <w:p>
      <w:pPr>
        <w:spacing w:after="160"/>
      </w:pPr>
      <w:r>
        <w:t xml:space="preserve">St. Louis, Missouri</w:t>
      </w:r>
    </w:p>
    <w:p>
      <w:pPr>
        <w:spacing w:after="160"/>
      </w:pPr>
      <w:r>
        <w:t xml:space="preserve">[email TBD]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A full list of role-specific contacts is at the end of Document 18 (Press / FAQ Briefing).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20 · BINDER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2026-04-20T22:09:23.787Z</dcterms:created>
  <dcterms:modified xsi:type="dcterms:W3CDTF">2026-04-20T22:09:23.788Z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