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b/>
          <w:bCs/>
          <w:color w:val="B8371F"/>
          <w:spacing w:val="60"/>
          <w:sz w:val="18"/>
          <w:szCs w:val="18"/>
        </w:rPr>
        <w:t xml:space="preserve">DOCUMENT 08</w:t>
      </w:r>
    </w:p>
    <w:p>
      <w:pPr>
        <w:spacing w:after="80"/>
      </w:pPr>
      <w:r>
        <w:rPr>
          <w:b/>
          <w:bCs/>
          <w:color w:val="1F2744"/>
          <w:spacing w:val="40"/>
          <w:sz w:val="22"/>
          <w:szCs w:val="22"/>
        </w:rPr>
        <w:t xml:space="preserve">THE FAMILY COURT METRIC CATALOG</w:t>
      </w:r>
    </w:p>
    <w:p>
      <w:pPr>
        <w:spacing w:after="40"/>
      </w:pPr>
      <w:r>
        <w:rPr>
          <w:b/>
          <w:bCs/>
          <w:color w:val="0D1220"/>
          <w:sz w:val="52"/>
          <w:szCs w:val="52"/>
        </w:rPr>
        <w:t xml:space="preserve">Data Ethics</w:t>
      </w:r>
    </w:p>
    <w:p>
      <w:pPr>
        <w:spacing w:after="240"/>
      </w:pPr>
      <w:r>
        <w:rPr>
          <w:b/>
          <w:bCs/>
          <w:color w:val="0D1220"/>
          <w:sz w:val="52"/>
          <w:szCs w:val="52"/>
        </w:rPr>
        <w:t xml:space="preserve">Review Charter</w:t>
      </w:r>
    </w:p>
    <w:p>
      <w:pPr>
        <w:spacing w:after="400"/>
      </w:pPr>
      <w:r>
        <w:rPr>
          <w:color w:val="1F2744"/>
          <w:sz w:val="26"/>
          <w:szCs w:val="26"/>
        </w:rPr>
        <w:t xml:space="preserve">The independent review body that examines every new metric for re-identification risk and harm potential before Methodology Board consideration.</w:t>
      </w:r>
    </w:p>
    <w:p>
      <w:pPr>
        <w:pBdr>
          <w:bottom w:val="single" w:color="0D1220" w:sz="6" w:space="1"/>
        </w:pBdr>
        <w:spacing w:after="120" w:before="120"/>
      </w:pPr>
      <w:r>
        <w:t xml:space="preserve"/>
      </w:r>
    </w:p>
    <w:p>
      <w:pPr>
        <w:spacing w:after="60" w:before="200"/>
      </w:pPr>
      <w:r>
        <w:rPr>
          <w:b/>
          <w:bCs/>
          <w:color w:val="555046"/>
          <w:spacing w:val="40"/>
          <w:sz w:val="16"/>
          <w:szCs w:val="16"/>
        </w:rPr>
        <w:t xml:space="preserve">PREPARED FOR</w:t>
      </w:r>
    </w:p>
    <w:p>
      <w:pPr>
        <w:spacing w:after="120"/>
      </w:pPr>
      <w:r>
        <w:rPr>
          <w:color w:val="0D1220"/>
          <w:sz w:val="24"/>
          <w:szCs w:val="24"/>
        </w:rPr>
        <w:t xml:space="preserve">Ethics Review Members · Legal Counsel</w:t>
      </w:r>
    </w:p>
    <w:p>
      <w:pPr>
        <w:spacing w:before="400"/>
      </w:pPr>
      <w:r>
        <w:rPr>
          <w:b/>
          <w:bCs/>
          <w:color w:val="555046"/>
          <w:spacing w:val="30"/>
          <w:sz w:val="18"/>
          <w:szCs w:val="18"/>
        </w:rPr>
        <w:t xml:space="preserve">Missouri Pilot · Version 0.3 · 2026</w:t>
      </w:r>
    </w:p>
    <w:p>
      <w:pPr>
        <w:spacing w:after="40"/>
      </w:pPr>
      <w:r>
        <w:rPr>
          <w:color w:val="555046"/>
          <w:sz w:val="18"/>
          <w:szCs w:val="18"/>
        </w:rPr>
        <w:t xml:space="preserve">A CoTrackPro Civic Publication</w:t>
      </w:r>
    </w:p>
    <w:p>
      <w:r>
        <w:br w:type="page"/>
      </w:r>
    </w:p>
    <w:p>
      <w:pPr>
        <w:spacing w:after="40" w:before="240"/>
      </w:pPr>
      <w:r>
        <w:rPr>
          <w:b/>
          <w:bCs/>
          <w:color w:val="B8371F"/>
          <w:spacing w:val="40"/>
          <w:sz w:val="18"/>
          <w:szCs w:val="18"/>
        </w:rPr>
        <w:t xml:space="preserve">PURPOSE</w:t>
      </w:r>
    </w:p>
    <w:p>
      <w:pPr>
        <w:pStyle w:val="Heading1"/>
      </w:pPr>
      <w:r>
        <w:t xml:space="preserve">Why a Separate Review</w:t>
      </w:r>
    </w:p>
    <w:p>
      <w:pPr>
        <w:spacing w:after="160"/>
      </w:pPr>
      <w:r>
        <w:t xml:space="preserve">The Methodology Board adjudicates what a metric should measure and how it should be computed. The Data Ethics Review is a separate body that examines what could go wrong when that metric is published: re-identification risk, differential harm to vulnerable populations, potential for adversarial misuse, and statutory conflict. Separating these functions ensures that a compelling methodological idea cannot overwhelm ethical concerns at the Board table.</w:t>
      </w:r>
    </w:p>
    <w:p>
      <w:pPr>
        <w:spacing w:after="40" w:before="240"/>
      </w:pPr>
      <w:r>
        <w:rPr>
          <w:b/>
          <w:bCs/>
          <w:color w:val="B8371F"/>
          <w:spacing w:val="40"/>
          <w:sz w:val="18"/>
          <w:szCs w:val="18"/>
        </w:rPr>
        <w:t xml:space="preserve">COMPOSITION</w:t>
      </w:r>
    </w:p>
    <w:p>
      <w:pPr>
        <w:pStyle w:val="Heading1"/>
      </w:pPr>
      <w:r>
        <w:t xml:space="preserve">Five Members, External</w:t>
      </w:r>
    </w:p>
    <w:p>
      <w:pPr>
        <w:spacing w:after="160"/>
      </w:pPr>
      <w:r>
        <w:t xml:space="preserve">The Data Ethics Review is composed of five members who are NOT members of the Methodology Board. This structural separation is essential. Members are:</w:t>
      </w:r>
    </w:p>
    <w:p>
      <w:pPr>
        <w:pStyle w:val="ListParagraph"/>
        <w:numPr>
          <w:ilvl w:val="0"/>
          <w:numId w:val="2"/>
        </w:numPr>
        <w:spacing w:after="80"/>
      </w:pPr>
      <w:r>
        <w:t xml:space="preserve">One privacy-law attorney with HIPAA and FERPA experience.</w:t>
      </w:r>
    </w:p>
    <w:p>
      <w:pPr>
        <w:pStyle w:val="ListParagraph"/>
        <w:numPr>
          <w:ilvl w:val="0"/>
          <w:numId w:val="2"/>
        </w:numPr>
        <w:spacing w:after="80"/>
      </w:pPr>
      <w:r>
        <w:t xml:space="preserve">One statistician or data scientist with published work in privacy-preserving data release.</w:t>
      </w:r>
    </w:p>
    <w:p>
      <w:pPr>
        <w:pStyle w:val="ListParagraph"/>
        <w:numPr>
          <w:ilvl w:val="0"/>
          <w:numId w:val="2"/>
        </w:numPr>
        <w:spacing w:after="80"/>
      </w:pPr>
      <w:r>
        <w:t xml:space="preserve">One domestic violence survivor advocate (separate from the Board seat).</w:t>
      </w:r>
    </w:p>
    <w:p>
      <w:pPr>
        <w:pStyle w:val="ListParagraph"/>
        <w:numPr>
          <w:ilvl w:val="0"/>
          <w:numId w:val="2"/>
        </w:numPr>
        <w:spacing w:after="80"/>
      </w:pPr>
      <w:r>
        <w:t xml:space="preserve">One civil rights attorney or researcher with disparate-impact analysis experience.</w:t>
      </w:r>
    </w:p>
    <w:p>
      <w:pPr>
        <w:pStyle w:val="ListParagraph"/>
        <w:numPr>
          <w:ilvl w:val="0"/>
          <w:numId w:val="2"/>
        </w:numPr>
        <w:spacing w:after="80"/>
      </w:pPr>
      <w:r>
        <w:t xml:space="preserve">One child welfare ethicist.</w:t>
      </w:r>
    </w:p>
    <w:p>
      <w:pPr>
        <w:spacing w:after="160"/>
      </w:pPr>
      <w:r>
        <w:t xml:space="preserve">Terms are two years, staggered. Members are paid a modest honorarium to support service from practitioners who could not otherwise afford the time commitment.</w:t>
      </w:r>
    </w:p>
    <w:p>
      <w:pPr>
        <w:spacing w:after="40" w:before="240"/>
      </w:pPr>
      <w:r>
        <w:rPr>
          <w:b/>
          <w:bCs/>
          <w:color w:val="B8371F"/>
          <w:spacing w:val="40"/>
          <w:sz w:val="18"/>
          <w:szCs w:val="18"/>
        </w:rPr>
        <w:t xml:space="preserve">REVIEW SCOPE</w:t>
      </w:r>
    </w:p>
    <w:p>
      <w:pPr>
        <w:pStyle w:val="Heading1"/>
      </w:pPr>
      <w:r>
        <w:t xml:space="preserve">What the Review Examines</w:t>
      </w:r>
    </w:p>
    <w:p>
      <w:pPr>
        <w:spacing w:after="160"/>
      </w:pPr>
      <w:r>
        <w:t xml:space="preserve">Every proposed new metric, every methodology revision affecting privacy posture, and every proposed change to a metric's disclosure tier triggers a Data Ethics Review. The review examines:</w:t>
      </w:r>
    </w:p>
    <w:p>
      <w:pPr>
        <w:pStyle w:val="ListParagraph"/>
        <w:numPr>
          <w:ilvl w:val="0"/>
          <w:numId w:val="2"/>
        </w:numPr>
        <w:spacing w:after="80"/>
      </w:pPr>
      <w:r>
        <w:t xml:space="preserve">Re-identification risk: Could published aggregates be combined with outside data sources to identify individuals?</w:t>
      </w:r>
    </w:p>
    <w:p>
      <w:pPr>
        <w:pStyle w:val="ListParagraph"/>
        <w:numPr>
          <w:ilvl w:val="0"/>
          <w:numId w:val="2"/>
        </w:numPr>
        <w:spacing w:after="80"/>
      </w:pPr>
      <w:r>
        <w:t xml:space="preserve">Differential harm: Does the metric create risks that fall disproportionately on a vulnerable population (e.g., DV survivors, low-income parties, racial minorities)?</w:t>
      </w:r>
    </w:p>
    <w:p>
      <w:pPr>
        <w:pStyle w:val="ListParagraph"/>
        <w:numPr>
          <w:ilvl w:val="0"/>
          <w:numId w:val="2"/>
        </w:numPr>
        <w:spacing w:after="80"/>
      </w:pPr>
      <w:r>
        <w:t xml:space="preserve">Adversarial misuse: Could the metric be weaponized in ongoing litigation or used to harass named individuals?</w:t>
      </w:r>
    </w:p>
    <w:p>
      <w:pPr>
        <w:pStyle w:val="ListParagraph"/>
        <w:numPr>
          <w:ilvl w:val="0"/>
          <w:numId w:val="2"/>
        </w:numPr>
        <w:spacing w:after="80"/>
      </w:pPr>
      <w:r>
        <w:t xml:space="preserve">Statutory conflict: Does the metric's publication posture conflict with any federal or Missouri privacy statute?</w:t>
      </w:r>
    </w:p>
    <w:p>
      <w:pPr>
        <w:pStyle w:val="ListParagraph"/>
        <w:numPr>
          <w:ilvl w:val="0"/>
          <w:numId w:val="2"/>
        </w:numPr>
        <w:spacing w:after="80"/>
      </w:pPr>
      <w:r>
        <w:t xml:space="preserve">Consent sufficiency: For Tier C metrics, is the opt-in consent genuinely informed and freely given?</w:t>
      </w:r>
    </w:p>
    <w:p>
      <w:pPr>
        <w:spacing w:after="40" w:before="240"/>
      </w:pPr>
      <w:r>
        <w:rPr>
          <w:b/>
          <w:bCs/>
          <w:color w:val="B8371F"/>
          <w:spacing w:val="40"/>
          <w:sz w:val="18"/>
          <w:szCs w:val="18"/>
        </w:rPr>
        <w:t xml:space="preserve">REVIEW PROCEDURE</w:t>
      </w:r>
    </w:p>
    <w:p>
      <w:pPr>
        <w:pStyle w:val="Heading1"/>
      </w:pPr>
      <w:r>
        <w:t xml:space="preserve">Six-Stage Process</w:t>
      </w:r>
    </w:p>
    <w:p>
      <w:pPr>
        <w:pStyle w:val="ListParagraph"/>
        <w:numPr>
          <w:ilvl w:val="0"/>
          <w:numId w:val="3"/>
        </w:numPr>
        <w:spacing w:after="80"/>
      </w:pPr>
      <w:r>
        <w:t xml:space="preserve">Staff prepares a review packet including the proposed metric, its computation, its disclosure tier, sample data (if available), and a preliminary harm analysis.</w:t>
      </w:r>
    </w:p>
    <w:p>
      <w:pPr>
        <w:pStyle w:val="ListParagraph"/>
        <w:numPr>
          <w:ilvl w:val="0"/>
          <w:numId w:val="3"/>
        </w:numPr>
        <w:spacing w:after="80"/>
      </w:pPr>
      <w:r>
        <w:t xml:space="preserve">Each reviewer examines the packet independently within fourteen days and submits written preliminary findings.</w:t>
      </w:r>
    </w:p>
    <w:p>
      <w:pPr>
        <w:pStyle w:val="ListParagraph"/>
        <w:numPr>
          <w:ilvl w:val="0"/>
          <w:numId w:val="3"/>
        </w:numPr>
        <w:spacing w:after="80"/>
      </w:pPr>
      <w:r>
        <w:t xml:space="preserve">Reviewers meet (in person or remote) to discuss findings and reach consensus or document dissent. Meetings are recorded for internal audit purposes.</w:t>
      </w:r>
    </w:p>
    <w:p>
      <w:pPr>
        <w:pStyle w:val="ListParagraph"/>
        <w:numPr>
          <w:ilvl w:val="0"/>
          <w:numId w:val="3"/>
        </w:numPr>
        <w:spacing w:after="80"/>
      </w:pPr>
      <w:r>
        <w:t xml:space="preserve">Findings are documented as APPROVED, APPROVED WITH CONDITIONS, or NOT APPROVED.</w:t>
      </w:r>
    </w:p>
    <w:p>
      <w:pPr>
        <w:pStyle w:val="ListParagraph"/>
        <w:numPr>
          <w:ilvl w:val="0"/>
          <w:numId w:val="3"/>
        </w:numPr>
        <w:spacing w:after="80"/>
      </w:pPr>
      <w:r>
        <w:t xml:space="preserve">Written findings are submitted to the Methodology Board at least seven days before the relevant Board meeting.</w:t>
      </w:r>
    </w:p>
    <w:p>
      <w:pPr>
        <w:pStyle w:val="ListParagraph"/>
        <w:numPr>
          <w:ilvl w:val="0"/>
          <w:numId w:val="3"/>
        </w:numPr>
        <w:spacing w:after="80"/>
      </w:pPr>
      <w:r>
        <w:t xml:space="preserve">The Methodology Board may not adopt a metric that has received NOT APPROVED findings without a written rebuttal and a separate vote of five-sevenths of all Board members (not just those present).</w:t>
      </w:r>
    </w:p>
    <w:p>
      <w:r>
        <w:br w:type="page"/>
      </w:r>
    </w:p>
    <w:p>
      <w:pPr>
        <w:spacing w:after="40" w:before="240"/>
      </w:pPr>
      <w:r>
        <w:rPr>
          <w:b/>
          <w:bCs/>
          <w:color w:val="B8371F"/>
          <w:spacing w:val="40"/>
          <w:sz w:val="18"/>
          <w:szCs w:val="18"/>
        </w:rPr>
        <w:t xml:space="preserve">TRANSPARENCY</w:t>
      </w:r>
    </w:p>
    <w:p>
      <w:pPr>
        <w:pStyle w:val="Heading1"/>
      </w:pPr>
      <w:r>
        <w:t xml:space="preserve">Publication</w:t>
      </w:r>
    </w:p>
    <w:p>
      <w:pPr>
        <w:spacing w:after="160"/>
      </w:pPr>
      <w:r>
        <w:t xml:space="preserve">Data Ethics Review findings are published with every adopted metric. The public can see what concerns were raised and how they were addressed. Findings for metrics that were not adopted are also published, with a brief rationale, to make the Review's standards visible.</w:t>
      </w:r>
    </w:p>
    <w:p>
      <w:pPr>
        <w:spacing w:after="40" w:before="240"/>
      </w:pPr>
      <w:r>
        <w:rPr>
          <w:b/>
          <w:bCs/>
          <w:color w:val="B8371F"/>
          <w:spacing w:val="40"/>
          <w:sz w:val="18"/>
          <w:szCs w:val="18"/>
        </w:rPr>
        <w:t xml:space="preserve">APPEALS</w:t>
      </w:r>
    </w:p>
    <w:p>
      <w:pPr>
        <w:pStyle w:val="Heading1"/>
      </w:pPr>
      <w:r>
        <w:t xml:space="preserve">Challenge Process</w:t>
      </w:r>
    </w:p>
    <w:p>
      <w:pPr>
        <w:spacing w:after="160"/>
      </w:pPr>
      <w:r>
        <w:t xml:space="preserve">Any member of the public, any Methodology Board member, or any affected individual may submit a written challenge to a Data Ethics Review finding within sixty days of publication. Challenges must identify a specific factual error or new evidence not considered in the original review. The Review may reaffirm, modify, or reverse its finding. Reversals require a four-fifths vote of the Review membership.</w:t>
      </w:r>
    </w:p>
    <w:p>
      <w:pPr>
        <w:spacing w:after="40" w:before="240"/>
      </w:pPr>
      <w:r>
        <w:rPr>
          <w:b/>
          <w:bCs/>
          <w:color w:val="B8371F"/>
          <w:spacing w:val="40"/>
          <w:sz w:val="18"/>
          <w:szCs w:val="18"/>
        </w:rPr>
        <w:t xml:space="preserve">INTERACTION WITH BOARD</w:t>
      </w:r>
    </w:p>
    <w:p>
      <w:pPr>
        <w:pStyle w:val="Heading1"/>
      </w:pPr>
      <w:r>
        <w:t xml:space="preserve">Division of Authority</w:t>
      </w:r>
    </w:p>
    <w:p>
      <w:pPr>
        <w:spacing w:after="160"/>
      </w:pPr>
      <w:r>
        <w:t xml:space="preserve">The Data Ethics Review can APPROVE or BLOCK a methodology decision. It does not propose methodologies. The Methodology Board proposes and adopts methodologies but cannot override an adverse Review finding without the five-sevenths supermajority. This asymmetric allocation of authority reflects the asymmetric stakes: bad methodology can be corrected; data released in error cannot be unreleased.</w:t>
      </w:r>
    </w:p>
    <w:p>
      <w:pPr>
        <w:spacing w:after="40" w:before="240"/>
      </w:pPr>
      <w:r>
        <w:rPr>
          <w:b/>
          <w:bCs/>
          <w:color w:val="B8371F"/>
          <w:spacing w:val="40"/>
          <w:sz w:val="18"/>
          <w:szCs w:val="18"/>
        </w:rPr>
        <w:t xml:space="preserve">INDEPENDENCE</w:t>
      </w:r>
    </w:p>
    <w:p>
      <w:pPr>
        <w:pStyle w:val="Heading1"/>
      </w:pPr>
      <w:r>
        <w:t xml:space="preserve">Structural Separation</w:t>
      </w:r>
    </w:p>
    <w:p>
      <w:pPr>
        <w:spacing w:after="160"/>
      </w:pPr>
      <w:r>
        <w:t xml:space="preserve">The Review reports to the Board of Directors of the entity hosting the Catalog (or to the fiscal agent if the Catalog is hosted through a fiscal sponsorship arrangement) — not to the Methodology Board. Review members are compensated from a separate budget line. Funding for the Review is disclosed publicly with the same rules that apply to Methodology Board funding.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1220" w:sz="6" w:space="4"/>
      </w:pBdr>
      <w:tabs>
        <w:tab w:val="center" w:pos="4680"/>
        <w:tab w:val="right" w:pos="9026"/>
      </w:tabs>
    </w:pPr>
    <w:r>
      <w:rPr>
        <w:color w:val="555046"/>
        <w:sz w:val="16"/>
        <w:szCs w:val="16"/>
      </w:rPr>
      <w:t xml:space="preserve">A CoTrackPro Civic Publication</w:t>
    </w:r>
    <w:r>
      <w:t xml:space="preserve">	</w:t>
    </w:r>
    <w:r>
      <w:rPr>
        <w:color w:val="555046"/>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r>
      <w:t xml:space="preserve">	</w:t>
    </w:r>
    <w:r>
      <w:rPr>
        <w:color w:val="555046"/>
        <w:sz w:val="16"/>
        <w:szCs w:val="16"/>
      </w:rPr>
      <w:t xml:space="preserve">v0.3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1220" w:sz="6" w:space="4"/>
      </w:pBdr>
      <w:tabs>
        <w:tab w:val="right" w:pos="9026"/>
      </w:tabs>
    </w:pPr>
    <w:r>
      <w:rPr>
        <w:b/>
        <w:bCs/>
        <w:color w:val="0D1220"/>
        <w:spacing w:val="30"/>
        <w:sz w:val="16"/>
        <w:szCs w:val="16"/>
      </w:rPr>
      <w:t xml:space="preserve">FAMILY COURT METRIC CATALOG</w:t>
    </w:r>
    <w:r>
      <w:t xml:space="preserve">	</w:t>
    </w:r>
    <w:r>
      <w:rPr>
        <w:color w:val="555046"/>
        <w:spacing w:val="20"/>
        <w:sz w:val="16"/>
        <w:szCs w:val="16"/>
      </w:rPr>
      <w:t xml:space="preserve">DOC 08 · DATA ETHICS REVIEW CHARTER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D1220"/>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0D1220"/>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0D122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2026-04-20T23:18:42.779Z</dcterms:created>
  <dcterms:modified xsi:type="dcterms:W3CDTF">2026-04-20T23:18:42.779Z</dcterms:modified>
</cp:coreProperties>
</file>

<file path=docProps/custom.xml><?xml version="1.0" encoding="utf-8"?>
<Properties xmlns="http://schemas.openxmlformats.org/officeDocument/2006/custom-properties" xmlns:vt="http://schemas.openxmlformats.org/officeDocument/2006/docPropsVTypes"/>
</file>