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pPr>
      <w:r>
        <w:rPr>
          <w:b/>
          <w:bCs/>
          <w:color w:val="B8371F"/>
          <w:spacing w:val="60"/>
          <w:sz w:val="18"/>
          <w:szCs w:val="18"/>
        </w:rPr>
        <w:t xml:space="preserve">DOCUMENT 17</w:t>
      </w:r>
    </w:p>
    <w:p>
      <w:pPr>
        <w:spacing w:after="80"/>
      </w:pPr>
      <w:r>
        <w:rPr>
          <w:b/>
          <w:bCs/>
          <w:color w:val="1F2744"/>
          <w:spacing w:val="40"/>
          <w:sz w:val="22"/>
          <w:szCs w:val="22"/>
        </w:rPr>
        <w:t xml:space="preserve">THE FAMILY COURT METRIC CATALOG</w:t>
      </w:r>
    </w:p>
    <w:p>
      <w:pPr>
        <w:spacing w:after="40"/>
      </w:pPr>
      <w:r>
        <w:rPr>
          <w:b/>
          <w:bCs/>
          <w:color w:val="0D1220"/>
          <w:sz w:val="52"/>
          <w:szCs w:val="52"/>
        </w:rPr>
        <w:t xml:space="preserve">Research</w:t>
      </w:r>
    </w:p>
    <w:p>
      <w:pPr>
        <w:spacing w:after="240"/>
      </w:pPr>
      <w:r>
        <w:rPr>
          <w:b/>
          <w:bCs/>
          <w:color w:val="0D1220"/>
          <w:sz w:val="52"/>
          <w:szCs w:val="52"/>
        </w:rPr>
        <w:t xml:space="preserve">DUA Template</w:t>
      </w:r>
    </w:p>
    <w:p>
      <w:pPr>
        <w:spacing w:after="400"/>
      </w:pPr>
      <w:r>
        <w:rPr>
          <w:color w:val="1F2744"/>
          <w:sz w:val="26"/>
          <w:szCs w:val="26"/>
        </w:rPr>
        <w:t xml:space="preserve">DRAFT Data Use Agreement template for academic and nonprofit research institutions accessing Tier B data.</w:t>
      </w:r>
    </w:p>
    <w:p>
      <w:pPr>
        <w:pBdr>
          <w:bottom w:val="single" w:color="0D1220" w:sz="6" w:space="1"/>
        </w:pBdr>
        <w:spacing w:after="120" w:before="120"/>
      </w:pPr>
      <w:r>
        <w:t xml:space="preserve"/>
      </w:r>
    </w:p>
    <w:p>
      <w:pPr>
        <w:spacing w:after="60" w:before="200"/>
      </w:pPr>
      <w:r>
        <w:rPr>
          <w:b/>
          <w:bCs/>
          <w:color w:val="555046"/>
          <w:spacing w:val="40"/>
          <w:sz w:val="16"/>
          <w:szCs w:val="16"/>
        </w:rPr>
        <w:t xml:space="preserve">PREPARED FOR</w:t>
      </w:r>
    </w:p>
    <w:p>
      <w:pPr>
        <w:spacing w:after="120"/>
      </w:pPr>
      <w:r>
        <w:rPr>
          <w:color w:val="0D1220"/>
          <w:sz w:val="24"/>
          <w:szCs w:val="24"/>
        </w:rPr>
        <w:t xml:space="preserve">Academic Research Officers · Sponsored Programs · IRBs</w:t>
      </w:r>
    </w:p>
    <w:p>
      <w:pPr>
        <w:spacing w:before="400"/>
      </w:pPr>
      <w:r>
        <w:rPr>
          <w:b/>
          <w:bCs/>
          <w:color w:val="555046"/>
          <w:spacing w:val="30"/>
          <w:sz w:val="18"/>
          <w:szCs w:val="18"/>
        </w:rPr>
        <w:t xml:space="preserve">Missouri Pilot · Version 0.3 · 2026</w:t>
      </w:r>
    </w:p>
    <w:p>
      <w:pPr>
        <w:spacing w:after="40"/>
      </w:pPr>
      <w:r>
        <w:rPr>
          <w:color w:val="555046"/>
          <w:sz w:val="18"/>
          <w:szCs w:val="18"/>
        </w:rPr>
        <w:t xml:space="preserve">A CoTrackPro Civic Publication</w:t>
      </w:r>
    </w:p>
    <w:p>
      <w:r>
        <w:br w:type="page"/>
      </w:r>
    </w:p>
    <w:p>
      <w:pPr>
        <w:pBdr>
          <w:left w:val="single" w:color="0D1220" w:sz="24" w:space="12"/>
        </w:pBdr>
        <w:spacing w:after="160" w:before="120"/>
        <w:ind w:left="360"/>
      </w:pPr>
      <w:r>
        <w:rPr>
          <w:i w:val="false"/>
          <w:iCs w:val="false"/>
          <w:sz w:val="22"/>
          <w:szCs w:val="22"/>
        </w:rPr>
        <w:t xml:space="preserve">This is a DRAFT template for discussion purposes only. Actual execution requires review and revision by counsel for both parties and approval by the institution's authorized signing official.</w:t>
      </w:r>
    </w:p>
    <w:p>
      <w:pPr>
        <w:spacing w:after="40" w:before="240"/>
      </w:pPr>
      <w:r>
        <w:rPr>
          <w:b/>
          <w:bCs/>
          <w:color w:val="B8371F"/>
          <w:spacing w:val="40"/>
          <w:sz w:val="18"/>
          <w:szCs w:val="18"/>
        </w:rPr>
        <w:t xml:space="preserve">RECITALS</w:t>
      </w:r>
    </w:p>
    <w:p>
      <w:pPr>
        <w:pStyle w:val="Heading1"/>
      </w:pPr>
      <w:r>
        <w:t xml:space="preserve">Parties and Purpose</w:t>
      </w:r>
    </w:p>
    <w:p>
      <w:pPr>
        <w:spacing w:after="160"/>
      </w:pPr>
      <w:r>
        <w:t xml:space="preserve">This Data Use Agreement ("DUA") is entered into between [the Platform Partner entity] ("Data Provider") and [Institution Name] ("Researcher Institution"), for the purpose of providing access to de-identified Tier B data from the Family Court Metric Catalog for specified research purposes.</w:t>
      </w:r>
    </w:p>
    <w:p>
      <w:pPr>
        <w:spacing w:after="40" w:before="240"/>
      </w:pPr>
      <w:r>
        <w:rPr>
          <w:b/>
          <w:bCs/>
          <w:color w:val="B8371F"/>
          <w:spacing w:val="40"/>
          <w:sz w:val="18"/>
          <w:szCs w:val="18"/>
        </w:rPr>
        <w:t xml:space="preserve">ARTICLE I</w:t>
      </w:r>
    </w:p>
    <w:p>
      <w:pPr>
        <w:pStyle w:val="Heading2"/>
      </w:pPr>
      <w:r>
        <w:t xml:space="preserve">Research Purpose</w:t>
      </w:r>
    </w:p>
    <w:p>
      <w:pPr>
        <w:spacing w:after="160"/>
      </w:pPr>
      <w:r>
        <w:t xml:space="preserve">Researcher Institution represents that the data provided under this DUA will be used solely for the following research purposes: [TO BE FILLED IN — must match IRB protocol].</w:t>
      </w:r>
    </w:p>
    <w:p>
      <w:pPr>
        <w:spacing w:after="160"/>
      </w:pPr>
      <w:r>
        <w:t xml:space="preserve">Any use of the data for purposes beyond those specified here requires a written amendment to this DUA. Commercial use is prohibited. Use in active litigation is prohibited.</w:t>
      </w:r>
    </w:p>
    <w:p>
      <w:pPr>
        <w:spacing w:after="40" w:before="240"/>
      </w:pPr>
      <w:r>
        <w:rPr>
          <w:b/>
          <w:bCs/>
          <w:color w:val="B8371F"/>
          <w:spacing w:val="40"/>
          <w:sz w:val="18"/>
          <w:szCs w:val="18"/>
        </w:rPr>
        <w:t xml:space="preserve">ARTICLE II</w:t>
      </w:r>
    </w:p>
    <w:p>
      <w:pPr>
        <w:pStyle w:val="Heading2"/>
      </w:pPr>
      <w:r>
        <w:t xml:space="preserve">Data Provided</w:t>
      </w:r>
    </w:p>
    <w:p>
      <w:pPr>
        <w:spacing w:after="160"/>
      </w:pPr>
      <w:r>
        <w:t xml:space="preserve">Data Provider will provide the following data elements: [TO BE ENUMERATED — specific metric partitions from the Catalog]. All data is de-identified consistent with HIPAA Safe Harbor standards at 45 CFR § 164.514. No direct identifiers are provided; no indirect identifier combinations enabling re-identification are provided.</w:t>
      </w:r>
    </w:p>
    <w:p>
      <w:pPr>
        <w:spacing w:after="40" w:before="240"/>
      </w:pPr>
      <w:r>
        <w:rPr>
          <w:b/>
          <w:bCs/>
          <w:color w:val="B8371F"/>
          <w:spacing w:val="40"/>
          <w:sz w:val="18"/>
          <w:szCs w:val="18"/>
        </w:rPr>
        <w:t xml:space="preserve">ARTICLE III</w:t>
      </w:r>
    </w:p>
    <w:p>
      <w:pPr>
        <w:pStyle w:val="Heading2"/>
      </w:pPr>
      <w:r>
        <w:t xml:space="preserve">Researcher Obligations</w:t>
      </w:r>
    </w:p>
    <w:p>
      <w:pPr>
        <w:pStyle w:val="ListParagraph"/>
        <w:numPr>
          <w:ilvl w:val="0"/>
          <w:numId w:val="2"/>
        </w:numPr>
        <w:spacing w:after="80"/>
      </w:pPr>
      <w:r>
        <w:t xml:space="preserve">Use data only for the research purposes specified in Article I.</w:t>
      </w:r>
    </w:p>
    <w:p>
      <w:pPr>
        <w:pStyle w:val="ListParagraph"/>
        <w:numPr>
          <w:ilvl w:val="0"/>
          <w:numId w:val="2"/>
        </w:numPr>
        <w:spacing w:after="80"/>
      </w:pPr>
      <w:r>
        <w:t xml:space="preserve">Maintain the data in a secure environment consistent with institutional standards for sensitive research data.</w:t>
      </w:r>
    </w:p>
    <w:p>
      <w:pPr>
        <w:pStyle w:val="ListParagraph"/>
        <w:numPr>
          <w:ilvl w:val="0"/>
          <w:numId w:val="2"/>
        </w:numPr>
        <w:spacing w:after="80"/>
      </w:pPr>
      <w:r>
        <w:t xml:space="preserve">Limit access to named personnel listed in an appendix to this DUA; changes to the personnel list require written notice.</w:t>
      </w:r>
    </w:p>
    <w:p>
      <w:pPr>
        <w:pStyle w:val="ListParagraph"/>
        <w:numPr>
          <w:ilvl w:val="0"/>
          <w:numId w:val="2"/>
        </w:numPr>
        <w:spacing w:after="80"/>
      </w:pPr>
      <w:r>
        <w:t xml:space="preserve">Not attempt to re-identify any individual, case, or party represented in the data.</w:t>
      </w:r>
    </w:p>
    <w:p>
      <w:pPr>
        <w:pStyle w:val="ListParagraph"/>
        <w:numPr>
          <w:ilvl w:val="0"/>
          <w:numId w:val="2"/>
        </w:numPr>
        <w:spacing w:after="80"/>
      </w:pPr>
      <w:r>
        <w:t xml:space="preserve">Not link the data to any other dataset except as specifically authorized in writing by Data Provider.</w:t>
      </w:r>
    </w:p>
    <w:p>
      <w:pPr>
        <w:pStyle w:val="ListParagraph"/>
        <w:numPr>
          <w:ilvl w:val="0"/>
          <w:numId w:val="2"/>
        </w:numPr>
        <w:spacing w:after="80"/>
      </w:pPr>
      <w:r>
        <w:t xml:space="preserve">Not publish any analysis that could enable re-identification through cell-size examination.</w:t>
      </w:r>
    </w:p>
    <w:p>
      <w:pPr>
        <w:pStyle w:val="ListParagraph"/>
        <w:numPr>
          <w:ilvl w:val="0"/>
          <w:numId w:val="2"/>
        </w:numPr>
        <w:spacing w:after="80"/>
      </w:pPr>
      <w:r>
        <w:t xml:space="preserve">Submit publications for a 30-day courtesy review window before release (comments are advisory; Data Provider does not approve academic content).</w:t>
      </w:r>
    </w:p>
    <w:p>
      <w:pPr>
        <w:pStyle w:val="ListParagraph"/>
        <w:numPr>
          <w:ilvl w:val="0"/>
          <w:numId w:val="2"/>
        </w:numPr>
        <w:spacing w:after="80"/>
      </w:pPr>
      <w:r>
        <w:t xml:space="preserve">Cite the Family Court Metric Catalog methodology version used in all publications.</w:t>
      </w:r>
    </w:p>
    <w:p>
      <w:r>
        <w:br w:type="page"/>
      </w:r>
    </w:p>
    <w:p>
      <w:pPr>
        <w:spacing w:after="40" w:before="240"/>
      </w:pPr>
      <w:r>
        <w:rPr>
          <w:b/>
          <w:bCs/>
          <w:color w:val="B8371F"/>
          <w:spacing w:val="40"/>
          <w:sz w:val="18"/>
          <w:szCs w:val="18"/>
        </w:rPr>
        <w:t xml:space="preserve">ARTICLE IV</w:t>
      </w:r>
    </w:p>
    <w:p>
      <w:pPr>
        <w:pStyle w:val="Heading2"/>
      </w:pPr>
      <w:r>
        <w:t xml:space="preserve">Re-Identification Prohibition</w:t>
      </w:r>
    </w:p>
    <w:p>
      <w:pPr>
        <w:spacing w:after="160"/>
      </w:pPr>
      <w:r>
        <w:t xml:space="preserve">Researcher Institution explicitly agrees that any attempt to re-identify any individual, case, or party represented in the data, whether by Researcher Institution staff or by any party acting on behalf of Researcher Institution, constitutes a material breach of this DUA. Such a breach results in immediate termination of access, permanent ineligibility for future data access, and may result in civil action. This prohibition survives termination of this DUA.</w:t>
      </w:r>
    </w:p>
    <w:p>
      <w:pPr>
        <w:spacing w:after="160"/>
      </w:pPr>
      <w:r>
        <w:t xml:space="preserve">The prohibition applies regardless of whether re-identification is achieved or merely attempted. Good-faith errors in de-identification review by Data Provider do not relieve Researcher Institution of this obligation.</w:t>
      </w:r>
    </w:p>
    <w:p>
      <w:pPr>
        <w:spacing w:after="40" w:before="240"/>
      </w:pPr>
      <w:r>
        <w:rPr>
          <w:b/>
          <w:bCs/>
          <w:color w:val="B8371F"/>
          <w:spacing w:val="40"/>
          <w:sz w:val="18"/>
          <w:szCs w:val="18"/>
        </w:rPr>
        <w:t xml:space="preserve">ARTICLE V</w:t>
      </w:r>
    </w:p>
    <w:p>
      <w:pPr>
        <w:pStyle w:val="Heading2"/>
      </w:pPr>
      <w:r>
        <w:t xml:space="preserve">Publication and Attribution</w:t>
      </w:r>
    </w:p>
    <w:p>
      <w:pPr>
        <w:spacing w:after="160"/>
      </w:pPr>
      <w:r>
        <w:t xml:space="preserve">Publications resulting from use of this data shall include the following acknowledgment: "Data provided by the Family Court Metric Catalog, methodology version [x.y.z]. The Catalog and its Methodology Board have not reviewed or approved the findings of this publication." Researcher Institution retains full editorial control and responsibility for its publications.</w:t>
      </w:r>
    </w:p>
    <w:p>
      <w:pPr>
        <w:spacing w:after="40" w:before="240"/>
      </w:pPr>
      <w:r>
        <w:rPr>
          <w:b/>
          <w:bCs/>
          <w:color w:val="B8371F"/>
          <w:spacing w:val="40"/>
          <w:sz w:val="18"/>
          <w:szCs w:val="18"/>
        </w:rPr>
        <w:t xml:space="preserve">ARTICLE VI</w:t>
      </w:r>
    </w:p>
    <w:p>
      <w:pPr>
        <w:pStyle w:val="Heading2"/>
      </w:pPr>
      <w:r>
        <w:t xml:space="preserve">Term and Termination</w:t>
      </w:r>
    </w:p>
    <w:p>
      <w:pPr>
        <w:spacing w:after="160"/>
      </w:pPr>
      <w:r>
        <w:t xml:space="preserve">Initial term of thirty-six (36) months from the Effective Date, with renewal by mutual written agreement. Either party may terminate for cause with thirty (30) days' written notice. Data Provider may terminate immediately for breach of Article IV. Upon termination, Researcher Institution shall destroy all data received under this DUA within ninety (90) days and provide written certification of destruction. Publications already in press may complete production under the citation standards of Article V.</w:t>
      </w:r>
    </w:p>
    <w:p>
      <w:pPr>
        <w:spacing w:after="40" w:before="240"/>
      </w:pPr>
      <w:r>
        <w:rPr>
          <w:b/>
          <w:bCs/>
          <w:color w:val="B8371F"/>
          <w:spacing w:val="40"/>
          <w:sz w:val="18"/>
          <w:szCs w:val="18"/>
        </w:rPr>
        <w:t xml:space="preserve">ARTICLE VII</w:t>
      </w:r>
    </w:p>
    <w:p>
      <w:pPr>
        <w:pStyle w:val="Heading2"/>
      </w:pPr>
      <w:r>
        <w:t xml:space="preserve">Audit Rights</w:t>
      </w:r>
    </w:p>
    <w:p>
      <w:pPr>
        <w:spacing w:after="160"/>
      </w:pPr>
      <w:r>
        <w:t xml:space="preserve">Data Provider may request, with thirty (30) days' notice, a compliance audit to verify adherence to Articles III and IV. The audit is conducted by an independent third party at Data Provider's expense. Researcher Institution shall provide reasonable access to data storage environments and personnel to enable the audit. Audit findings are reported to the Methodology Board and to Researcher Institution's IRB if directly relevant to protocol compliance.</w:t>
      </w:r>
    </w:p>
    <w:p>
      <w:pPr>
        <w:spacing w:after="40" w:before="240"/>
      </w:pPr>
      <w:r>
        <w:rPr>
          <w:b/>
          <w:bCs/>
          <w:color w:val="B8371F"/>
          <w:spacing w:val="40"/>
          <w:sz w:val="18"/>
          <w:szCs w:val="18"/>
        </w:rPr>
        <w:t xml:space="preserve">ARTICLE VIII</w:t>
      </w:r>
    </w:p>
    <w:p>
      <w:pPr>
        <w:pStyle w:val="Heading2"/>
      </w:pPr>
      <w:r>
        <w:t xml:space="preserve">Indemnification and Liability</w:t>
      </w:r>
    </w:p>
    <w:p>
      <w:pPr>
        <w:spacing w:after="160"/>
      </w:pPr>
      <w:r>
        <w:t xml:space="preserve">Each party is responsible for its own acts and omissions. Researcher Institution indemnifies Data Provider against claims arising from re-identification attempts or other material breaches of this DUA by Researcher Institution's personnel. Neither party is liable for consequential or indirect damages. Liability for direct damages is capped at $100,000 except for liability arising from Article IV breaches, which is uncapped.</w:t>
      </w:r>
    </w:p>
    <w:p>
      <w:pPr>
        <w:spacing w:after="40" w:before="240"/>
      </w:pPr>
      <w:r>
        <w:rPr>
          <w:b/>
          <w:bCs/>
          <w:color w:val="B8371F"/>
          <w:spacing w:val="40"/>
          <w:sz w:val="18"/>
          <w:szCs w:val="18"/>
        </w:rPr>
        <w:t xml:space="preserve">ARTICLE IX</w:t>
      </w:r>
    </w:p>
    <w:p>
      <w:pPr>
        <w:pStyle w:val="Heading2"/>
      </w:pPr>
      <w:r>
        <w:t xml:space="preserve">Miscellaneous</w:t>
      </w:r>
    </w:p>
    <w:p>
      <w:pPr>
        <w:pStyle w:val="ListParagraph"/>
        <w:numPr>
          <w:ilvl w:val="0"/>
          <w:numId w:val="2"/>
        </w:numPr>
        <w:spacing w:after="80"/>
      </w:pPr>
      <w:r>
        <w:t xml:space="preserve">Governing Law: Missouri.</w:t>
      </w:r>
    </w:p>
    <w:p>
      <w:pPr>
        <w:pStyle w:val="ListParagraph"/>
        <w:numPr>
          <w:ilvl w:val="0"/>
          <w:numId w:val="2"/>
        </w:numPr>
        <w:spacing w:after="80"/>
      </w:pPr>
      <w:r>
        <w:t xml:space="preserve">Venue: A court of competent jurisdiction in St. Louis, Missouri.</w:t>
      </w:r>
    </w:p>
    <w:p>
      <w:pPr>
        <w:pStyle w:val="ListParagraph"/>
        <w:numPr>
          <w:ilvl w:val="0"/>
          <w:numId w:val="2"/>
        </w:numPr>
        <w:spacing w:after="80"/>
      </w:pPr>
      <w:r>
        <w:t xml:space="preserve">Amendments: Only in writing, signed by both parties.</w:t>
      </w:r>
    </w:p>
    <w:p>
      <w:pPr>
        <w:pStyle w:val="ListParagraph"/>
        <w:numPr>
          <w:ilvl w:val="0"/>
          <w:numId w:val="2"/>
        </w:numPr>
        <w:spacing w:after="80"/>
      </w:pPr>
      <w:r>
        <w:t xml:space="preserve">Entire Agreement: This DUA constitutes the entire agreement between the parties concerning the subject matter.</w:t>
      </w:r>
    </w:p>
    <w:p>
      <w:pPr>
        <w:pStyle w:val="ListParagraph"/>
        <w:numPr>
          <w:ilvl w:val="0"/>
          <w:numId w:val="2"/>
        </w:numPr>
        <w:spacing w:after="80"/>
      </w:pPr>
      <w:r>
        <w:t xml:space="preserve">Survival: Articles IV (re-identification), V (attribution), and VIII (indemnification) survive termination.</w:t>
      </w:r>
    </w:p>
    <w:p>
      <w:pPr>
        <w:spacing w:after="40" w:before="240"/>
      </w:pPr>
      <w:r>
        <w:rPr>
          <w:b/>
          <w:bCs/>
          <w:color w:val="B8371F"/>
          <w:spacing w:val="40"/>
          <w:sz w:val="18"/>
          <w:szCs w:val="18"/>
        </w:rPr>
        <w:t xml:space="preserve">SIGNATURES</w:t>
      </w:r>
    </w:p>
    <w:p>
      <w:pPr>
        <w:pStyle w:val="Heading2"/>
      </w:pPr>
      <w:r>
        <w:t xml:space="preserve">Execution</w:t>
      </w:r>
    </w:p>
    <w:p>
      <w:pPr>
        <w:spacing w:after="160"/>
      </w:pPr>
      <w:r>
        <w:t xml:space="preserve">IN WITNESS WHEREOF, the parties have caused this Data Use Agreement to be executed by their duly authorized representatives as of the Effective Date written below.</w:t>
      </w:r>
    </w:p>
    <w:p>
      <w:pPr>
        <w:spacing w:after="160"/>
      </w:pPr>
      <w:r>
        <w:t xml:space="preserve"> </w:t>
      </w:r>
    </w:p>
    <w:p>
      <w:pPr>
        <w:spacing w:after="160"/>
      </w:pPr>
      <w:r>
        <w:t xml:space="preserve">_____________________________________</w:t>
      </w:r>
    </w:p>
    <w:p>
      <w:pPr>
        <w:spacing w:after="160"/>
      </w:pPr>
      <w:r>
        <w:t xml:space="preserve">For [Platform Partner / Data Provider]</w:t>
      </w:r>
    </w:p>
    <w:p>
      <w:pPr>
        <w:spacing w:after="160"/>
      </w:pPr>
      <w:r>
        <w:t xml:space="preserve">Name, Title, Date</w:t>
      </w:r>
    </w:p>
    <w:p>
      <w:pPr>
        <w:spacing w:after="160"/>
      </w:pPr>
      <w:r>
        <w:t xml:space="preserve"> </w:t>
      </w:r>
    </w:p>
    <w:p>
      <w:pPr>
        <w:spacing w:after="160"/>
      </w:pPr>
      <w:r>
        <w:t xml:space="preserve">_____________________________________</w:t>
      </w:r>
    </w:p>
    <w:p>
      <w:pPr>
        <w:spacing w:after="160"/>
      </w:pPr>
      <w:r>
        <w:t xml:space="preserve">For [Researcher Institution]</w:t>
      </w:r>
    </w:p>
    <w:p>
      <w:pPr>
        <w:spacing w:after="160"/>
      </w:pPr>
      <w:r>
        <w:t xml:space="preserve">Name, Title, Date</w:t>
      </w:r>
    </w:p>
    <w:p>
      <w:pPr>
        <w:spacing w:after="160"/>
      </w:pPr>
      <w:r>
        <w:t xml:space="preserve"> </w:t>
      </w:r>
    </w:p>
    <w:p>
      <w:pPr>
        <w:spacing w:after="160"/>
      </w:pPr>
      <w:r>
        <w:t xml:space="preserve">Appendix A: Specific Data Elements Requested</w:t>
      </w:r>
    </w:p>
    <w:p>
      <w:pPr>
        <w:spacing w:after="160"/>
      </w:pPr>
      <w:r>
        <w:t xml:space="preserve">Appendix B: Authorized Personnel List</w:t>
      </w:r>
    </w:p>
    <w:p>
      <w:pPr>
        <w:spacing w:after="160"/>
      </w:pPr>
      <w:r>
        <w:t xml:space="preserve">Appendix C: IRB Approval Letter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1220" w:sz="6" w:space="4"/>
      </w:pBdr>
      <w:tabs>
        <w:tab w:val="center" w:pos="4680"/>
        <w:tab w:val="right" w:pos="9026"/>
      </w:tabs>
    </w:pPr>
    <w:r>
      <w:rPr>
        <w:color w:val="555046"/>
        <w:sz w:val="16"/>
        <w:szCs w:val="16"/>
      </w:rPr>
      <w:t xml:space="preserve">A CoTrackPro Civic Publication</w:t>
    </w:r>
    <w:r>
      <w:t xml:space="preserve">	</w:t>
    </w:r>
    <w:r>
      <w:rPr>
        <w:color w:val="555046"/>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r>
      <w:t xml:space="preserve">	</w:t>
    </w:r>
    <w:r>
      <w:rPr>
        <w:color w:val="555046"/>
        <w:sz w:val="16"/>
        <w:szCs w:val="16"/>
      </w:rPr>
      <w:t xml:space="preserve">v0.3 ·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1220" w:sz="6" w:space="4"/>
      </w:pBdr>
      <w:tabs>
        <w:tab w:val="right" w:pos="9026"/>
      </w:tabs>
    </w:pPr>
    <w:r>
      <w:rPr>
        <w:b/>
        <w:bCs/>
        <w:color w:val="0D1220"/>
        <w:spacing w:val="30"/>
        <w:sz w:val="16"/>
        <w:szCs w:val="16"/>
      </w:rPr>
      <w:t xml:space="preserve">FAMILY COURT METRIC CATALOG</w:t>
    </w:r>
    <w:r>
      <w:t xml:space="preserve">	</w:t>
    </w:r>
    <w:r>
      <w:rPr>
        <w:color w:val="555046"/>
        <w:spacing w:val="20"/>
        <w:sz w:val="16"/>
        <w:szCs w:val="16"/>
      </w:rPr>
      <w:t xml:space="preserve">DOC 17 · RESEARCH DUA TEMPLATE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0D1220"/>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0D1220"/>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0D122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2026-04-20T22:07:38.614Z</dcterms:created>
  <dcterms:modified xsi:type="dcterms:W3CDTF">2026-04-20T22:07:38.614Z</dcterms:modified>
</cp:coreProperties>
</file>

<file path=docProps/custom.xml><?xml version="1.0" encoding="utf-8"?>
<Properties xmlns="http://schemas.openxmlformats.org/officeDocument/2006/custom-properties" xmlns:vt="http://schemas.openxmlformats.org/officeDocument/2006/docPropsVTypes"/>
</file>