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11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Technical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Architecture Summary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How the Metric Catalog is built: data model, API, infrastructure, and the de-identification pipeline at a high level.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Technical Reviewers · OSCA IT · Academic IRB Staff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STACK</w:t>
      </w:r>
    </w:p>
    <w:p>
      <w:pPr>
        <w:pStyle w:val="Heading1"/>
      </w:pPr>
      <w:r>
        <w:t xml:space="preserve">Technology Choices</w:t>
      </w:r>
    </w:p>
    <w:p>
      <w:pPr>
        <w:spacing w:after="160"/>
      </w:pPr>
      <w:r>
        <w:t xml:space="preserve">The Catalog is built on AWS using serverless patterns: DynamoDB single-table design, API Gateway + Lambda, S3 for document storage, Cognito for authentication, and SSM Parameter Store for secrets. The front-end is React/Vite with server-rendered public pages. All services run in us-east-2 with least-privilege IAM per function.</w:t>
      </w:r>
    </w:p>
    <w:p>
      <w:pPr>
        <w:spacing w:after="160"/>
      </w:pPr>
      <w:r>
        <w:t xml:space="preserve">All source code for the Catalog's public-facing components is open source under an MIT license at github.com/cotrackpro/family-court-metric-catalog. Platform-partner-proprietary infrastructure (user-owned data pipelines) is not open source but carries documented external auditable behavior.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DATA MODEL</w:t>
      </w:r>
    </w:p>
    <w:p>
      <w:pPr>
        <w:pStyle w:val="Heading1"/>
      </w:pPr>
      <w:r>
        <w:t xml:space="preserve">DynamoDB Single-Table</w:t>
      </w:r>
    </w:p>
    <w:p>
      <w:pPr>
        <w:spacing w:after="160"/>
      </w:pPr>
      <w:r>
        <w:t xml:space="preserve">The Catalog uses a single DynamoDB table with three global secondary indexes, following the Alex DeBrie single-table pattern. Partition keys encode the entity type and tenant (circuit or state); sort keys encode the temporal dimension and specific record identifier. This design supports sub-10ms lookups at the aggregate level while preserving the tier-based access pattern.</w:t>
      </w:r>
    </w:p>
    <w:p>
      <w:pPr>
        <w:pStyle w:val="Heading3"/>
      </w:pPr>
      <w:r>
        <w:t xml:space="preserve">Entity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METRIC#{metric_id} / VERSION#{semver}: methodology version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AGG#{circuit}#{metric_id} / PERIOD#{yyyy-qq}: published aggregate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AUDIT#{metric_id} / TIMESTAMP: methodology change 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DUA#{institution} / TIMESTAMP: data use agreement records.</w:t>
      </w:r>
    </w:p>
    <w:p>
      <w:pPr>
        <w:pStyle w:val="Heading3"/>
      </w:pPr>
      <w:r>
        <w:t xml:space="preserve">Access Patterns (GSIs)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GSI1: by metric across all circuits (temporal analysis).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GSI2: by circuit across all metrics (circuit dashboard).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GSI3: by tier across all metrics (access control enforcement).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API</w:t>
      </w:r>
    </w:p>
    <w:p>
      <w:pPr>
        <w:pStyle w:val="Heading1"/>
      </w:pPr>
      <w:r>
        <w:t xml:space="preserve">Public API Surface</w:t>
      </w:r>
    </w:p>
    <w:p>
      <w:pPr>
        <w:spacing w:after="160"/>
      </w:pPr>
      <w:r>
        <w:t xml:space="preserve">The Catalog exposes an OpenAPI-documented REST API for programmatic access to Tier A metrics. Tier B access uses the same API with DUA-holder authentication (short-lived STS credentials, per-session). Tier C and D are not available via this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/v1/metrics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all metrics with tier and visibility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/v1/metrics/{id}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for a specific metric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/v1/metrics/{id}/versions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history for a metric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/v1/agg/{circuit}/{metric_id}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 (A) / DUA (B)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Published aggregate values with CI and 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/v1/audit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change log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/v1/dua/apply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DUA application submission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IAM</w:t>
      </w:r>
    </w:p>
    <w:p>
      <w:pPr>
        <w:pStyle w:val="Heading1"/>
      </w:pPr>
      <w:r>
        <w:t xml:space="preserve">Least-Privilege Design</w:t>
      </w:r>
    </w:p>
    <w:p>
      <w:pPr>
        <w:spacing w:after="160"/>
      </w:pPr>
      <w:r>
        <w:t xml:space="preserve">Each Lambda function operates under a dedicated IAM role with the minimum permissions required for its task. There are four role families: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public-reader: DynamoDB GetItem and Query on aggregate and methodology partitions only. No write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dua-reader: Everything public-reader has plus access to Tier B data partitions. Audit-logged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publisher: Write access to aggregate partitions only after methodology validation passes. Cannot read raw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Methodology and audit-log writes. Requires hardware-token MFA for every session. Full CloudTrail logging.</w:t>
      </w:r>
    </w:p>
    <w:p>
      <w:pPr>
        <w:spacing w:after="160"/>
      </w:pPr>
      <w:r>
        <w:t xml:space="preserve">Cross-account trust policies prevent the public-reader role from ever being assumable with DUA scope.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SECRETS</w:t>
      </w:r>
    </w:p>
    <w:p>
      <w:pPr>
        <w:pStyle w:val="Heading1"/>
      </w:pPr>
      <w:r>
        <w:t xml:space="preserve">SSM Parameter Store Namespaces</w:t>
      </w:r>
    </w:p>
    <w:p>
      <w:pPr>
        <w:spacing w:after="160"/>
      </w:pPr>
      <w:r>
        <w:t xml:space="preserve">Secrets are never hardcoded or committed. All credentials, API keys, and configuration are stored as SSM SecureString parameters under namespaced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/fcmc/production/data/... — production data-pipeline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/fcmc/production/api/... — production API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/fcmc/production/mcp/... — MCP server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/fcmc/staging/... — staging environment (separate KMS key).</w:t>
      </w:r>
    </w:p>
    <w:p>
      <w:pPr>
        <w:spacing w:after="160"/>
      </w:pPr>
      <w:r>
        <w:t xml:space="preserve">Parameter reads are audit-logged. Rotation is enforced quarterly for all machine credentials and monthly for high-sensitivity credentials.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ROLLOUT</w:t>
      </w:r>
    </w:p>
    <w:p>
      <w:pPr>
        <w:pStyle w:val="Heading1"/>
      </w:pPr>
      <w:r>
        <w:t xml:space="preserve">Five-Phase Technical Rollout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Months 1-3: Infrastructure provisioning, methodology board formation, initial DUA framework.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Months 4-9: First-wave Tier A metrics (clearance rate, time-to-disposition, filing volumes) published for pilot circuits.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Months 10-15: Second-wave Tier A and initial Tier B research partnerships activated.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Months 16-24: First Tier C metric (parenting time compliance) published as aggregate. Cross-jurisdiction DUA with peer states explored.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Months 25-36: Full catalog at pilot-circuit coverage. Evaluation, methodology review, and statewide rollout planning.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MONITORING</w:t>
      </w:r>
    </w:p>
    <w:p>
      <w:pPr>
        <w:pStyle w:val="Heading1"/>
      </w:pPr>
      <w:r>
        <w:t xml:space="preserve">Operational Telemetry</w:t>
      </w:r>
    </w:p>
    <w:p>
      <w:pPr>
        <w:spacing w:after="160"/>
      </w:pPr>
      <w:r>
        <w:t xml:space="preserve">All API routes emit CloudWatch metrics for latency, error rate, and request volume. Methodology operations emit structured audit events to a dedicated CloudTrail trail. A quarterly "red team" review tests the de-identification pipeline against simulated adversarial queries; results are reported to the Data Ethics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11 ·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2026-04-20T23:18:43.172Z</dcterms:created>
  <dcterms:modified xsi:type="dcterms:W3CDTF">2026-04-20T23:18:43.172Z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