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b/>
          <w:bCs/>
          <w:color w:val="B8371F"/>
          <w:spacing w:val="60"/>
          <w:sz w:val="18"/>
          <w:szCs w:val="18"/>
        </w:rPr>
        <w:t xml:space="preserve">DOCUMENT 12</w:t>
      </w:r>
    </w:p>
    <w:p>
      <w:pPr>
        <w:spacing w:after="80"/>
      </w:pPr>
      <w:r>
        <w:rPr>
          <w:b/>
          <w:bCs/>
          <w:color w:val="1F2744"/>
          <w:spacing w:val="40"/>
          <w:sz w:val="22"/>
          <w:szCs w:val="22"/>
        </w:rPr>
        <w:t xml:space="preserve">THE FAMILY COURT METRIC CATALOG</w:t>
      </w:r>
    </w:p>
    <w:p>
      <w:pPr>
        <w:spacing w:after="40"/>
      </w:pPr>
      <w:r>
        <w:rPr>
          <w:b/>
          <w:bCs/>
          <w:color w:val="0D1220"/>
          <w:sz w:val="52"/>
          <w:szCs w:val="52"/>
        </w:rPr>
        <w:t xml:space="preserve">Privacy &amp;</w:t>
      </w:r>
    </w:p>
    <w:p>
      <w:pPr>
        <w:spacing w:after="240"/>
      </w:pPr>
      <w:r>
        <w:rPr>
          <w:b/>
          <w:bCs/>
          <w:color w:val="0D1220"/>
          <w:sz w:val="52"/>
          <w:szCs w:val="52"/>
        </w:rPr>
        <w:t xml:space="preserve">De-Identification Pipeline</w:t>
      </w:r>
    </w:p>
    <w:p>
      <w:pPr>
        <w:spacing w:after="400"/>
      </w:pPr>
      <w:r>
        <w:rPr>
          <w:color w:val="1F2744"/>
          <w:sz w:val="26"/>
          <w:szCs w:val="26"/>
        </w:rPr>
        <w:t xml:space="preserve">The five-gate pipeline every aggregate traverses before it leaves the platform, and how re-identification risk is continuously tested.</w:t>
      </w:r>
    </w:p>
    <w:p>
      <w:pPr>
        <w:pBdr>
          <w:bottom w:val="single" w:color="0D1220" w:sz="6" w:space="1"/>
        </w:pBdr>
        <w:spacing w:after="120" w:before="120"/>
      </w:pPr>
      <w:r>
        <w:t xml:space="preserve"/>
      </w:r>
    </w:p>
    <w:p>
      <w:pPr>
        <w:spacing w:after="60" w:before="200"/>
      </w:pPr>
      <w:r>
        <w:rPr>
          <w:b/>
          <w:bCs/>
          <w:color w:val="555046"/>
          <w:spacing w:val="40"/>
          <w:sz w:val="16"/>
          <w:szCs w:val="16"/>
        </w:rPr>
        <w:t xml:space="preserve">PREPARED FOR</w:t>
      </w:r>
    </w:p>
    <w:p>
      <w:pPr>
        <w:spacing w:after="120"/>
      </w:pPr>
      <w:r>
        <w:rPr>
          <w:color w:val="0D1220"/>
          <w:sz w:val="24"/>
          <w:szCs w:val="24"/>
        </w:rPr>
        <w:t xml:space="preserve">Privacy Officers · Data Ethics Reviewers · Academic IRBs</w:t>
      </w:r>
    </w:p>
    <w:p>
      <w:pPr>
        <w:spacing w:before="400"/>
      </w:pPr>
      <w:r>
        <w:rPr>
          <w:b/>
          <w:bCs/>
          <w:color w:val="555046"/>
          <w:spacing w:val="30"/>
          <w:sz w:val="18"/>
          <w:szCs w:val="18"/>
        </w:rPr>
        <w:t xml:space="preserve">Missouri Pilot · Version 0.3 · 2026</w:t>
      </w:r>
    </w:p>
    <w:p>
      <w:pPr>
        <w:spacing w:after="40"/>
      </w:pPr>
      <w:r>
        <w:rPr>
          <w:color w:val="555046"/>
          <w:sz w:val="18"/>
          <w:szCs w:val="18"/>
        </w:rPr>
        <w:t xml:space="preserve">A CoTrackPro Civic Publication</w:t>
      </w:r>
    </w:p>
    <w:p>
      <w:r>
        <w:br w:type="page"/>
      </w:r>
    </w:p>
    <w:p>
      <w:pPr>
        <w:spacing w:after="40" w:before="240"/>
      </w:pPr>
      <w:r>
        <w:rPr>
          <w:b/>
          <w:bCs/>
          <w:color w:val="B8371F"/>
          <w:spacing w:val="40"/>
          <w:sz w:val="18"/>
          <w:szCs w:val="18"/>
        </w:rPr>
        <w:t xml:space="preserve">PHILOSOPHY</w:t>
      </w:r>
    </w:p>
    <w:p>
      <w:pPr>
        <w:pStyle w:val="Heading1"/>
      </w:pPr>
      <w:r>
        <w:t xml:space="preserve">Privacy by Architecture, Not by Policy</w:t>
      </w:r>
    </w:p>
    <w:p>
      <w:pPr>
        <w:spacing w:after="160"/>
      </w:pPr>
      <w:r>
        <w:t xml:space="preserve">Policies alone do not prevent re-identification. The Catalog's privacy posture is enforced by architecture: data that does not exist cannot be published, data that has been aggregated past a threshold cannot be disaggregated, data that never leaves the user's account cannot be compromised at the aggregator. This document describes the architectural pattern.</w:t>
      </w:r>
    </w:p>
    <w:p>
      <w:pPr>
        <w:spacing w:after="40" w:before="240"/>
      </w:pPr>
      <w:r>
        <w:rPr>
          <w:b/>
          <w:bCs/>
          <w:color w:val="B8371F"/>
          <w:spacing w:val="40"/>
          <w:sz w:val="18"/>
          <w:szCs w:val="18"/>
        </w:rPr>
        <w:t xml:space="preserve">GATES</w:t>
      </w:r>
    </w:p>
    <w:p>
      <w:pPr>
        <w:pStyle w:val="Heading1"/>
      </w:pPr>
      <w:r>
        <w:t xml:space="preserve">The Five-Gate Pipeline</w:t>
      </w:r>
    </w:p>
    <w:p>
      <w:pPr>
        <w:pStyle w:val="Heading2"/>
      </w:pPr>
      <w:r>
        <w:t xml:space="preserve">Gate 1 — Field Minimization</w:t>
      </w:r>
    </w:p>
    <w:p>
      <w:pPr>
        <w:spacing w:after="160"/>
      </w:pPr>
      <w:r>
        <w:t xml:space="preserve">Data arriving from OSCA contains only the fields required to compute the specific metrics covered under the MOU. Party identifiers, attorney names, judge names, and case numbers are stripped before crossing the pipeline boundary. A hash-based linkage identifier (with salt rotation) enables longitudinal analysis without preserving identifying information.</w:t>
      </w:r>
    </w:p>
    <w:p>
      <w:pPr>
        <w:pStyle w:val="Heading2"/>
      </w:pPr>
      <w:r>
        <w:t xml:space="preserve">Gate 2 — Aggregation Minimums</w:t>
      </w:r>
    </w:p>
    <w:p>
      <w:pPr>
        <w:spacing w:after="160"/>
      </w:pPr>
      <w:r>
        <w:t xml:space="preserve">No cell is computed with fewer than ten distinct cases. Cells below the threshold are suppressed entirely; they do not appear with a "redacted" marker that could be combined with known totals to infer the suppressed value (complementary disclosure is actively prevented). Cell-size testing runs before aggregation is written to the published partition.</w:t>
      </w:r>
    </w:p>
    <w:p>
      <w:pPr>
        <w:pStyle w:val="Heading2"/>
      </w:pPr>
      <w:r>
        <w:t xml:space="preserve">Gate 3 — Differential Privacy Noise</w:t>
      </w:r>
    </w:p>
    <w:p>
      <w:pPr>
        <w:spacing w:after="160"/>
      </w:pPr>
      <w:r>
        <w:t xml:space="preserve">Cells between ten and thirty cases carry differential privacy noise sized to the published metric's sensitivity. Noise is applied from a calibrated Laplace mechanism with per-metric epsilon budgets disclosed in the methodology. Noise parameters are reviewed annually by the Data Ethics Review.</w:t>
      </w:r>
    </w:p>
    <w:p>
      <w:pPr>
        <w:pStyle w:val="Heading2"/>
      </w:pPr>
      <w:r>
        <w:t xml:space="preserve">Gate 4 — Linkage Attack Testing</w:t>
      </w:r>
    </w:p>
    <w:p>
      <w:pPr>
        <w:spacing w:after="160"/>
      </w:pPr>
      <w:r>
        <w:t xml:space="preserve">Before any new metric publishes for the first time, the aggregation is tested against a battery of linkage attacks using publicly available datasets (census data, court docket summaries, news archives). The test looks for whether published cells combined with outside data could uniquely identify a case. A red-team report is produced for the Data Ethics Review.</w:t>
      </w:r>
    </w:p>
    <w:p>
      <w:pPr>
        <w:pStyle w:val="Heading2"/>
      </w:pPr>
      <w:r>
        <w:t xml:space="preserve">Gate 5 — Ongoing Adversarial Monitoring</w:t>
      </w:r>
    </w:p>
    <w:p>
      <w:pPr>
        <w:spacing w:after="160"/>
      </w:pPr>
      <w:r>
        <w:t xml:space="preserve">Quarterly, an independent reviewer runs an adversarial query suite against the live public API, simulating a motivated attacker with realistic outside information. Results are reported to the Data Ethics Review and published in summary form. Any anomalous finding triggers temporary suspension of affected metrics pending review.</w:t>
      </w:r>
    </w:p>
    <w:p>
      <w:r>
        <w:br w:type="page"/>
      </w:r>
    </w:p>
    <w:p>
      <w:pPr>
        <w:spacing w:after="40" w:before="240"/>
      </w:pPr>
      <w:r>
        <w:rPr>
          <w:b/>
          <w:bCs/>
          <w:color w:val="B8371F"/>
          <w:spacing w:val="40"/>
          <w:sz w:val="18"/>
          <w:szCs w:val="18"/>
        </w:rPr>
        <w:t xml:space="preserve">TIER-SPECIFIC</w:t>
      </w:r>
    </w:p>
    <w:p>
      <w:pPr>
        <w:pStyle w:val="Heading1"/>
      </w:pPr>
      <w:r>
        <w:t xml:space="preserve">How Each Tier Passes Through the Pipeline</w:t>
      </w:r>
    </w:p>
    <w:p>
      <w:pPr>
        <w:pStyle w:val="Heading2"/>
      </w:pPr>
      <w:r>
        <w:t xml:space="preserve">Tier A</w:t>
      </w:r>
    </w:p>
    <w:p>
      <w:pPr>
        <w:spacing w:after="160"/>
      </w:pPr>
      <w:r>
        <w:t xml:space="preserve">Passes through all five gates. k-anonymity floor of 10, DP noise for n&lt;30, full public linkage testing, included in quarterly red-team monitoring.</w:t>
      </w:r>
    </w:p>
    <w:p>
      <w:pPr>
        <w:pStyle w:val="Heading2"/>
      </w:pPr>
      <w:r>
        <w:t xml:space="preserve">Tier B</w:t>
      </w:r>
    </w:p>
    <w:p>
      <w:pPr>
        <w:spacing w:after="160"/>
      </w:pPr>
      <w:r>
        <w:t xml:space="preserve">Passes through all five gates with tightened thresholds where relevant. Additional controls: DUA authentication gates access, IRB approval required, every query audit-logged, STS credentials are short-lived per session.</w:t>
      </w:r>
    </w:p>
    <w:p>
      <w:pPr>
        <w:pStyle w:val="Heading2"/>
      </w:pPr>
      <w:r>
        <w:t xml:space="preserve">Tier C</w:t>
      </w:r>
    </w:p>
    <w:p>
      <w:pPr>
        <w:spacing w:after="160"/>
      </w:pPr>
      <w:r>
        <w:t xml:space="preserve">User-generated data does not enter the pipeline unless the user has opted in. Opt-in is explicit, revocable, and documented per session. Scored features (not raw content) enter the pipeline and pass through the standard five gates. Raw message content remains in the user's account.</w:t>
      </w:r>
    </w:p>
    <w:p>
      <w:pPr>
        <w:pStyle w:val="Heading2"/>
      </w:pPr>
      <w:r>
        <w:t xml:space="preserve">Tier D</w:t>
      </w:r>
    </w:p>
    <w:p>
      <w:pPr>
        <w:spacing w:after="160"/>
      </w:pPr>
      <w:r>
        <w:t xml:space="preserve">Does not enter the pipeline. Retention limited to operational necessity. Periodic destruction enforced by automated lifecycle rules.</w:t>
      </w:r>
    </w:p>
    <w:p>
      <w:pPr>
        <w:spacing w:after="40" w:before="240"/>
      </w:pPr>
      <w:r>
        <w:rPr>
          <w:b/>
          <w:bCs/>
          <w:color w:val="B8371F"/>
          <w:spacing w:val="40"/>
          <w:sz w:val="18"/>
          <w:szCs w:val="18"/>
        </w:rPr>
        <w:t xml:space="preserve">CONSENT</w:t>
      </w:r>
    </w:p>
    <w:p>
      <w:pPr>
        <w:pStyle w:val="Heading1"/>
      </w:pPr>
      <w:r>
        <w:t xml:space="preserve">How Opt-In Works for Tier C</w:t>
      </w:r>
    </w:p>
    <w:p>
      <w:pPr>
        <w:spacing w:after="160"/>
      </w:pPr>
      <w:r>
        <w:t xml:space="preserve">Tier C opt-in is a separate affirmative action from account creation. Users are shown a plain-language disclosure describing exactly what will be shared, at what level of aggregation, with whom, and for what purpose. Consent can be revoked from a single settings page; revocation removes the user's contribution from future aggregates and, where technically feasible, from past aggregates that have not yet been published externally.</w:t>
      </w:r>
    </w:p>
    <w:p>
      <w:pPr>
        <w:spacing w:after="160"/>
      </w:pPr>
      <w:r>
        <w:t xml:space="preserve">No platform feature is locked behind Tier C consent. A user who declines to share may use every feature available to those who share. The Catalog project earns its data participation through demonstrated value, not through coercion.</w:t>
      </w:r>
    </w:p>
    <w:p>
      <w:pPr>
        <w:spacing w:after="40" w:before="240"/>
      </w:pPr>
      <w:r>
        <w:rPr>
          <w:b/>
          <w:bCs/>
          <w:color w:val="B8371F"/>
          <w:spacing w:val="40"/>
          <w:sz w:val="18"/>
          <w:szCs w:val="18"/>
        </w:rPr>
        <w:t xml:space="preserve">INCIDENT RESPONSE</w:t>
      </w:r>
    </w:p>
    <w:p>
      <w:pPr>
        <w:pStyle w:val="Heading1"/>
      </w:pPr>
      <w:r>
        <w:t xml:space="preserve">If Something Goes Wrong</w:t>
      </w:r>
    </w:p>
    <w:p>
      <w:pPr>
        <w:spacing w:after="160"/>
      </w:pPr>
      <w:r>
        <w:t xml:space="preserve">In the event of a detected or suspected re-identification incident, the Data Ethics Review chair orders immediate suspension of the affected metric. Within twenty-four hours, a public notice is issued describing the nature of the incident (without disclosing details that would increase re-identification risk). Within thirty days, a full incident report is published. If user data is implicated, affected users are notified individually within seventy-two hours per applicable breach notification standards.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1220" w:sz="6" w:space="4"/>
      </w:pBdr>
      <w:tabs>
        <w:tab w:val="center" w:pos="4680"/>
        <w:tab w:val="right" w:pos="9026"/>
      </w:tabs>
    </w:pPr>
    <w:r>
      <w:rPr>
        <w:color w:val="555046"/>
        <w:sz w:val="16"/>
        <w:szCs w:val="16"/>
      </w:rPr>
      <w:t xml:space="preserve">A CoTrackPro Civic Publication</w:t>
    </w:r>
    <w:r>
      <w:t xml:space="preserve">	</w:t>
    </w:r>
    <w:r>
      <w:rPr>
        <w:color w:val="555046"/>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r>
      <w:t xml:space="preserve">	</w:t>
    </w:r>
    <w:r>
      <w:rPr>
        <w:color w:val="555046"/>
        <w:sz w:val="16"/>
        <w:szCs w:val="16"/>
      </w:rPr>
      <w:t xml:space="preserve">v0.3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1220" w:sz="6" w:space="4"/>
      </w:pBdr>
      <w:tabs>
        <w:tab w:val="right" w:pos="9026"/>
      </w:tabs>
    </w:pPr>
    <w:r>
      <w:rPr>
        <w:b/>
        <w:bCs/>
        <w:color w:val="0D1220"/>
        <w:spacing w:val="30"/>
        <w:sz w:val="16"/>
        <w:szCs w:val="16"/>
      </w:rPr>
      <w:t xml:space="preserve">FAMILY COURT METRIC CATALOG</w:t>
    </w:r>
    <w:r>
      <w:t xml:space="preserve">	</w:t>
    </w:r>
    <w:r>
      <w:rPr>
        <w:color w:val="555046"/>
        <w:spacing w:val="20"/>
        <w:sz w:val="16"/>
        <w:szCs w:val="16"/>
      </w:rPr>
      <w:t xml:space="preserve">DOC 12 · PRIVACY PIPELINE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D1220"/>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0D1220"/>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0D122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2026-04-20T23:18:43.266Z</dcterms:created>
  <dcterms:modified xsi:type="dcterms:W3CDTF">2026-04-20T23:18:43.266Z</dcterms:modified>
</cp:coreProperties>
</file>

<file path=docProps/custom.xml><?xml version="1.0" encoding="utf-8"?>
<Properties xmlns="http://schemas.openxmlformats.org/officeDocument/2006/custom-properties" xmlns:vt="http://schemas.openxmlformats.org/officeDocument/2006/docPropsVTypes"/>
</file>