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04</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Pilot County</w:t>
      </w:r>
    </w:p>
    <w:p>
      <w:pPr>
        <w:spacing w:after="240"/>
      </w:pPr>
      <w:r>
        <w:rPr>
          <w:b/>
          <w:bCs/>
          <w:color w:val="0D1220"/>
          <w:sz w:val="52"/>
          <w:szCs w:val="52"/>
        </w:rPr>
        <w:t xml:space="preserve">Selection Memo</w:t>
      </w:r>
    </w:p>
    <w:p>
      <w:pPr>
        <w:spacing w:after="400"/>
      </w:pPr>
      <w:r>
        <w:rPr>
          <w:color w:val="1F2744"/>
          <w:sz w:val="26"/>
          <w:szCs w:val="26"/>
        </w:rPr>
        <w:t xml:space="preserve">The three Missouri counties proposed for the 36-month Family Court Metric Catalog pilot, and the rationale for each.</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OSCA · Presiding Judges · Academic Partners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OVERVIEW</w:t>
      </w:r>
    </w:p>
    <w:p>
      <w:pPr>
        <w:pStyle w:val="Heading1"/>
      </w:pPr>
      <w:r>
        <w:t xml:space="preserve">Three Counties, Three Scales</w:t>
      </w:r>
    </w:p>
    <w:p>
      <w:pPr>
        <w:spacing w:after="160"/>
      </w:pPr>
      <w:r>
        <w:t xml:space="preserve">The pilot deliberately tests the Metric Catalog at three distinct scales of family court operation. Each county validates the framework at a different population and complexity profile before any statewide rollout. Together they cover approximately 22% of Missouri's family court docket and represent the core patterns of urban, mid-size regional, and university-town jurisdictions.</w:t>
      </w:r>
    </w:p>
    <w:p>
      <w:pPr>
        <w:spacing w:after="160"/>
      </w:pPr>
      <w:r>
        <w:t xml:space="preserve">ASSUMPTION: Filing volume estimates below are representative of OSCA annual statistical reports. Production values should be confirmed against the most recent Missouri Judicial Report before MOU execution.</w:t>
      </w:r>
    </w:p>
    <w:p>
      <w:r>
        <w:br w:type="page"/>
      </w:r>
    </w:p>
    <w:p>
      <w:pPr>
        <w:spacing w:after="40" w:before="240"/>
      </w:pPr>
      <w:r>
        <w:rPr>
          <w:b/>
          <w:bCs/>
          <w:color w:val="B8371F"/>
          <w:spacing w:val="40"/>
          <w:sz w:val="18"/>
          <w:szCs w:val="18"/>
        </w:rPr>
        <w:t xml:space="preserve">TIER 1 · URBAN HIGH-VOLUME</w:t>
      </w:r>
    </w:p>
    <w:p>
      <w:pPr>
        <w:pStyle w:val="Heading1"/>
      </w:pPr>
      <w:r>
        <w:t xml:space="preserve">St. Louis County</w:t>
      </w:r>
    </w:p>
    <w:p>
      <w:pPr>
        <w:pStyle w:val="Heading3"/>
      </w:pPr>
      <w:r>
        <w:t xml:space="preserve">Profile</w:t>
      </w:r>
    </w:p>
    <w:p>
      <w:pPr>
        <w:spacing w:after="160"/>
      </w:pPr>
      <w:r>
        <w:t xml:space="preserve">Population approximately 1.0 million. 21st Judicial Circuit. Highest family court volume in the state. Diverse demographics across north, central, and south county.</w:t>
      </w:r>
    </w:p>
    <w:p>
      <w:pPr>
        <w:pStyle w:val="Heading3"/>
      </w:pPr>
      <w:r>
        <w:t xml:space="preserve">Key Indicators</w:t>
      </w:r>
    </w:p>
    <w:p>
      <w:pPr>
        <w:pStyle w:val="ListParagraph"/>
        <w:numPr>
          <w:ilvl w:val="0"/>
          <w:numId w:val="2"/>
        </w:numPr>
        <w:spacing w:after="80"/>
      </w:pPr>
      <w:r>
        <w:t xml:space="preserve">Case volume: approximately 8,500 family court filings per year.</w:t>
      </w:r>
    </w:p>
    <w:p>
      <w:pPr>
        <w:pStyle w:val="ListParagraph"/>
        <w:numPr>
          <w:ilvl w:val="0"/>
          <w:numId w:val="2"/>
        </w:numPr>
        <w:spacing w:after="80"/>
      </w:pPr>
      <w:r>
        <w:t xml:space="preserve">Family-assigned judges: 8.</w:t>
      </w:r>
    </w:p>
    <w:p>
      <w:pPr>
        <w:pStyle w:val="ListParagraph"/>
        <w:numPr>
          <w:ilvl w:val="0"/>
          <w:numId w:val="2"/>
        </w:numPr>
        <w:spacing w:after="80"/>
      </w:pPr>
      <w:r>
        <w:t xml:space="preserve">Pro se rate: approximately 58%.</w:t>
      </w:r>
    </w:p>
    <w:p>
      <w:pPr>
        <w:pStyle w:val="ListParagraph"/>
        <w:numPr>
          <w:ilvl w:val="0"/>
          <w:numId w:val="2"/>
        </w:numPr>
        <w:spacing w:after="80"/>
      </w:pPr>
      <w:r>
        <w:t xml:space="preserve">Academic partner: Washington University School of Law.</w:t>
      </w:r>
    </w:p>
    <w:p>
      <w:pPr>
        <w:pStyle w:val="Heading3"/>
      </w:pPr>
      <w:r>
        <w:t xml:space="preserve">Rationale</w:t>
      </w:r>
    </w:p>
    <w:p>
      <w:pPr>
        <w:spacing w:after="160"/>
      </w:pPr>
      <w:r>
        <w:t xml:space="preserve">St. Louis County tests the framework at scale. Its case volume creates statistical power for disparity analyses that smaller circuits cannot support. Its demographic diversity enables meaningful research into outcome variance. Proximity to Wash U and SLU provides immediate academic partnership capacity. If the framework works here, it works for the largest urban family court in Missouri.</w:t>
      </w:r>
    </w:p>
    <w:p>
      <w:pPr>
        <w:spacing w:after="40" w:before="240"/>
      </w:pPr>
      <w:r>
        <w:rPr>
          <w:b/>
          <w:bCs/>
          <w:color w:val="B8371F"/>
          <w:spacing w:val="40"/>
          <w:sz w:val="18"/>
          <w:szCs w:val="18"/>
        </w:rPr>
        <w:t xml:space="preserve">TIER 2 · MID-SIZE REGIONAL</w:t>
      </w:r>
    </w:p>
    <w:p>
      <w:pPr>
        <w:pStyle w:val="Heading1"/>
      </w:pPr>
      <w:r>
        <w:t xml:space="preserve">Greene County</w:t>
      </w:r>
    </w:p>
    <w:p>
      <w:pPr>
        <w:pStyle w:val="Heading3"/>
      </w:pPr>
      <w:r>
        <w:t xml:space="preserve">Profile</w:t>
      </w:r>
    </w:p>
    <w:p>
      <w:pPr>
        <w:spacing w:after="160"/>
      </w:pPr>
      <w:r>
        <w:t xml:space="preserve">Population approximately 300,000. 31st Judicial Circuit. Springfield anchor. Regional court hub for surrounding Ozarks counties.</w:t>
      </w:r>
    </w:p>
    <w:p>
      <w:pPr>
        <w:pStyle w:val="Heading3"/>
      </w:pPr>
      <w:r>
        <w:t xml:space="preserve">Key Indicators</w:t>
      </w:r>
    </w:p>
    <w:p>
      <w:pPr>
        <w:pStyle w:val="ListParagraph"/>
        <w:numPr>
          <w:ilvl w:val="0"/>
          <w:numId w:val="2"/>
        </w:numPr>
        <w:spacing w:after="80"/>
      </w:pPr>
      <w:r>
        <w:t xml:space="preserve">Case volume: approximately 2,600 family court filings per year.</w:t>
      </w:r>
    </w:p>
    <w:p>
      <w:pPr>
        <w:pStyle w:val="ListParagraph"/>
        <w:numPr>
          <w:ilvl w:val="0"/>
          <w:numId w:val="2"/>
        </w:numPr>
        <w:spacing w:after="80"/>
      </w:pPr>
      <w:r>
        <w:t xml:space="preserve">Family-assigned judges: 3.</w:t>
      </w:r>
    </w:p>
    <w:p>
      <w:pPr>
        <w:pStyle w:val="ListParagraph"/>
        <w:numPr>
          <w:ilvl w:val="0"/>
          <w:numId w:val="2"/>
        </w:numPr>
        <w:spacing w:after="80"/>
      </w:pPr>
      <w:r>
        <w:t xml:space="preserve">Pro se rate: approximately 64%.</w:t>
      </w:r>
    </w:p>
    <w:p>
      <w:pPr>
        <w:pStyle w:val="ListParagraph"/>
        <w:numPr>
          <w:ilvl w:val="0"/>
          <w:numId w:val="2"/>
        </w:numPr>
        <w:spacing w:after="80"/>
      </w:pPr>
      <w:r>
        <w:t xml:space="preserve">Academic partner: Missouri State University, College of Public Affairs.</w:t>
      </w:r>
    </w:p>
    <w:p>
      <w:pPr>
        <w:pStyle w:val="Heading3"/>
      </w:pPr>
      <w:r>
        <w:t xml:space="preserve">Rationale</w:t>
      </w:r>
    </w:p>
    <w:p>
      <w:pPr>
        <w:spacing w:after="160"/>
      </w:pPr>
      <w:r>
        <w:t xml:space="preserve">Greene County represents the Ozarks region and mid-Missouri population patterns. A mid-volume docket tests the framework without urban complexity. Its status as a regional court hub also tests how metric publication handles spillover cases from smaller surrounding counties without exposing those counties to direct metric publication before they are ready.</w:t>
      </w:r>
    </w:p>
    <w:p>
      <w:r>
        <w:br w:type="page"/>
      </w:r>
    </w:p>
    <w:p>
      <w:pPr>
        <w:spacing w:after="40" w:before="240"/>
      </w:pPr>
      <w:r>
        <w:rPr>
          <w:b/>
          <w:bCs/>
          <w:color w:val="B8371F"/>
          <w:spacing w:val="40"/>
          <w:sz w:val="18"/>
          <w:szCs w:val="18"/>
        </w:rPr>
        <w:t xml:space="preserve">TIER 3 · UNIVERSITY TOWN</w:t>
      </w:r>
    </w:p>
    <w:p>
      <w:pPr>
        <w:pStyle w:val="Heading1"/>
      </w:pPr>
      <w:r>
        <w:t xml:space="preserve">Boone County</w:t>
      </w:r>
    </w:p>
    <w:p>
      <w:pPr>
        <w:pStyle w:val="Heading3"/>
      </w:pPr>
      <w:r>
        <w:t xml:space="preserve">Profile</w:t>
      </w:r>
    </w:p>
    <w:p>
      <w:pPr>
        <w:spacing w:after="160"/>
      </w:pPr>
      <w:r>
        <w:t xml:space="preserve">Population approximately 180,000. 13th Judicial Circuit. Columbia. Home of the University of Missouri.</w:t>
      </w:r>
    </w:p>
    <w:p>
      <w:pPr>
        <w:pStyle w:val="Heading3"/>
      </w:pPr>
      <w:r>
        <w:t xml:space="preserve">Key Indicators</w:t>
      </w:r>
    </w:p>
    <w:p>
      <w:pPr>
        <w:pStyle w:val="ListParagraph"/>
        <w:numPr>
          <w:ilvl w:val="0"/>
          <w:numId w:val="2"/>
        </w:numPr>
        <w:spacing w:after="80"/>
      </w:pPr>
      <w:r>
        <w:t xml:space="preserve">Case volume: approximately 1,400 family court filings per year.</w:t>
      </w:r>
    </w:p>
    <w:p>
      <w:pPr>
        <w:pStyle w:val="ListParagraph"/>
        <w:numPr>
          <w:ilvl w:val="0"/>
          <w:numId w:val="2"/>
        </w:numPr>
        <w:spacing w:after="80"/>
      </w:pPr>
      <w:r>
        <w:t xml:space="preserve">Family-assigned judges: 2.</w:t>
      </w:r>
    </w:p>
    <w:p>
      <w:pPr>
        <w:pStyle w:val="ListParagraph"/>
        <w:numPr>
          <w:ilvl w:val="0"/>
          <w:numId w:val="2"/>
        </w:numPr>
        <w:spacing w:after="80"/>
      </w:pPr>
      <w:r>
        <w:t xml:space="preserve">Pro se rate: approximately 51%.</w:t>
      </w:r>
    </w:p>
    <w:p>
      <w:pPr>
        <w:pStyle w:val="ListParagraph"/>
        <w:numPr>
          <w:ilvl w:val="0"/>
          <w:numId w:val="2"/>
        </w:numPr>
        <w:spacing w:after="80"/>
      </w:pPr>
      <w:r>
        <w:t xml:space="preserve">Academic partner: Mizzou Law and the School of Social Work.</w:t>
      </w:r>
    </w:p>
    <w:p>
      <w:pPr>
        <w:pStyle w:val="Heading3"/>
      </w:pPr>
      <w:r>
        <w:t xml:space="preserve">Rationale</w:t>
      </w:r>
    </w:p>
    <w:p>
      <w:pPr>
        <w:spacing w:after="160"/>
      </w:pPr>
      <w:r>
        <w:t xml:space="preserve">Boone County supports rapid iteration on methodology. The smaller docket makes it feasible to test new metric definitions quickly and refine them before scaling to larger circuits. Mizzou Law and the School of Social Work provide native research capacity, IRB infrastructure, and graduate-student research capacity. This is where the pilot does its methodology development in partnership with the academic community.</w:t>
      </w:r>
    </w:p>
    <w:p>
      <w:pPr>
        <w:spacing w:after="40" w:before="240"/>
      </w:pPr>
      <w:r>
        <w:rPr>
          <w:b/>
          <w:bCs/>
          <w:color w:val="B8371F"/>
          <w:spacing w:val="40"/>
          <w:sz w:val="18"/>
          <w:szCs w:val="18"/>
        </w:rPr>
        <w:t xml:space="preserve">COVERAGE</w:t>
      </w:r>
    </w:p>
    <w:p>
      <w:pPr>
        <w:pStyle w:val="Heading1"/>
      </w:pPr>
      <w:r>
        <w:t xml:space="preserve">Combined Pilot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33"/>
        <w:gridCol w:w="2333"/>
        <w:gridCol w:w="2334"/>
      </w:tblGrid>
      <w:tr>
        <w:trPr>
          <w:tblHeader/>
        </w:trPr>
        <w:tc>
          <w:tcPr>
            <w:tcW w:type="dxa" w:w="2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MEASURE</w:t>
            </w:r>
          </w:p>
        </w:tc>
        <w:tc>
          <w:tcPr>
            <w:tcW w:type="dxa" w:w="2333"/>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COMBINED PILOT</w:t>
            </w:r>
          </w:p>
        </w:tc>
        <w:tc>
          <w:tcPr>
            <w:tcW w:type="dxa" w:w="2333"/>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STATEWIDE</w:t>
            </w:r>
          </w:p>
        </w:tc>
        <w:tc>
          <w:tcPr>
            <w:tcW w:type="dxa" w:w="2334"/>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 COVERAGE</w:t>
            </w:r>
          </w:p>
        </w:tc>
      </w:tr>
      <w:tr>
        <w:tc>
          <w:tcPr>
            <w:tcW w:type="dxa" w:w="2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Population</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~1.48 million</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~6.18 million</w:t>
            </w:r>
          </w:p>
        </w:tc>
        <w:tc>
          <w:tcPr>
            <w:tcW w:type="dxa" w:w="2334"/>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~24%</w:t>
            </w:r>
          </w:p>
        </w:tc>
      </w:tr>
      <w:tr>
        <w:tc>
          <w:tcPr>
            <w:tcW w:type="dxa" w:w="2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Annual family filings</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~12,500</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~56,000</w:t>
            </w:r>
          </w:p>
        </w:tc>
        <w:tc>
          <w:tcPr>
            <w:tcW w:type="dxa" w:w="2334"/>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~22%</w:t>
            </w:r>
          </w:p>
        </w:tc>
      </w:tr>
      <w:tr>
        <w:tc>
          <w:tcPr>
            <w:tcW w:type="dxa" w:w="2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Family-assigned judges</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13</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~95</w:t>
            </w:r>
          </w:p>
        </w:tc>
        <w:tc>
          <w:tcPr>
            <w:tcW w:type="dxa" w:w="2334"/>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~14%</w:t>
            </w:r>
          </w:p>
        </w:tc>
      </w:tr>
      <w:tr>
        <w:tc>
          <w:tcPr>
            <w:tcW w:type="dxa" w:w="2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Academic partners</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 law schools</w:t>
            </w:r>
          </w:p>
        </w:tc>
        <w:tc>
          <w:tcPr>
            <w:tcW w:type="dxa" w:w="2333"/>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w:t>
            </w:r>
          </w:p>
        </w:tc>
        <w:tc>
          <w:tcPr>
            <w:tcW w:type="dxa" w:w="2334"/>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w:t>
            </w:r>
          </w:p>
        </w:tc>
      </w:tr>
    </w:tbl>
    <w:p>
      <w:pPr>
        <w:spacing w:after="40" w:before="240"/>
      </w:pPr>
      <w:r>
        <w:rPr>
          <w:b/>
          <w:bCs/>
          <w:color w:val="B8371F"/>
          <w:spacing w:val="40"/>
          <w:sz w:val="18"/>
          <w:szCs w:val="18"/>
        </w:rPr>
        <w:t xml:space="preserve">SELECTION CONSIDERATIONS</w:t>
      </w:r>
    </w:p>
    <w:p>
      <w:pPr>
        <w:pStyle w:val="Heading1"/>
      </w:pPr>
      <w:r>
        <w:t xml:space="preserve">Why Not Other Counties</w:t>
      </w:r>
    </w:p>
    <w:p>
      <w:pPr>
        <w:spacing w:after="160"/>
      </w:pPr>
      <w:r>
        <w:t xml:space="preserve">Several Missouri counties were considered and not selected for the initial pilot. The reasoning is documented for transparency and to anticipate questions from stakeholders outside the selected circuits.</w:t>
      </w:r>
    </w:p>
    <w:p>
      <w:pPr>
        <w:pStyle w:val="ListParagraph"/>
        <w:numPr>
          <w:ilvl w:val="0"/>
          <w:numId w:val="2"/>
        </w:numPr>
        <w:spacing w:after="80"/>
      </w:pPr>
      <w:r>
        <w:t xml:space="preserve">Jackson County (Kansas City): Comparable scale to St. Louis County and strong research partnerships at UMKC. Deferred to a Phase 2 expansion to avoid testing urban scale in two places simultaneously; selection between St. Louis County and Jackson County came down to law-school partnership capacity.</w:t>
      </w:r>
    </w:p>
    <w:p>
      <w:pPr>
        <w:pStyle w:val="ListParagraph"/>
        <w:numPr>
          <w:ilvl w:val="0"/>
          <w:numId w:val="2"/>
        </w:numPr>
        <w:spacing w:after="80"/>
      </w:pPr>
      <w:r>
        <w:t xml:space="preserve">St. Charles County: Excellent data maturity and cooperative bench. Deferred because it would duplicate the urban-fringe profile of St. Louis County. Natural candidate for Phase 2.</w:t>
      </w:r>
    </w:p>
    <w:p>
      <w:pPr>
        <w:pStyle w:val="ListParagraph"/>
        <w:numPr>
          <w:ilvl w:val="0"/>
          <w:numId w:val="2"/>
        </w:numPr>
        <w:spacing w:after="80"/>
      </w:pPr>
      <w:r>
        <w:t xml:space="preserve">Rural circuits (numerous): Family court volume is too low to support meaningful county-level Tier A publication without extended aggregation periods. Rural coverage is planned through a regional aggregation approach in Phase 2.</w:t>
      </w:r>
    </w:p>
    <w:p>
      <w:pPr>
        <w:spacing w:after="40" w:before="240"/>
      </w:pPr>
      <w:r>
        <w:rPr>
          <w:b/>
          <w:bCs/>
          <w:color w:val="B8371F"/>
          <w:spacing w:val="40"/>
          <w:sz w:val="18"/>
          <w:szCs w:val="18"/>
        </w:rPr>
        <w:t xml:space="preserve">ASK</w:t>
      </w:r>
    </w:p>
    <w:p>
      <w:pPr>
        <w:pStyle w:val="Heading1"/>
      </w:pPr>
      <w:r>
        <w:t xml:space="preserve">What the Pilot Circuits Are Being Asked to Do</w:t>
      </w:r>
    </w:p>
    <w:p>
      <w:pPr>
        <w:pStyle w:val="ListParagraph"/>
        <w:numPr>
          <w:ilvl w:val="0"/>
          <w:numId w:val="2"/>
        </w:numPr>
        <w:spacing w:after="80"/>
      </w:pPr>
      <w:r>
        <w:t xml:space="preserve">Sign a Memorandum of Understanding (see Document 06) with OSCA and the Platform Partner.</w:t>
      </w:r>
    </w:p>
    <w:p>
      <w:pPr>
        <w:pStyle w:val="ListParagraph"/>
        <w:numPr>
          <w:ilvl w:val="0"/>
          <w:numId w:val="2"/>
        </w:numPr>
        <w:spacing w:after="80"/>
      </w:pPr>
      <w:r>
        <w:t xml:space="preserve">Participate in methodology board consultations and provide input on metrics that touch circuit operations.</w:t>
      </w:r>
    </w:p>
    <w:p>
      <w:pPr>
        <w:pStyle w:val="ListParagraph"/>
        <w:numPr>
          <w:ilvl w:val="0"/>
          <w:numId w:val="2"/>
        </w:numPr>
        <w:spacing w:after="80"/>
      </w:pPr>
      <w:r>
        <w:t xml:space="preserve">Allow internal-only dashboards for presiding and family-assigned judges (Tier B, private).</w:t>
      </w:r>
    </w:p>
    <w:p>
      <w:pPr>
        <w:pStyle w:val="ListParagraph"/>
        <w:numPr>
          <w:ilvl w:val="0"/>
          <w:numId w:val="2"/>
        </w:numPr>
        <w:spacing w:after="80"/>
      </w:pPr>
      <w:r>
        <w:t xml:space="preserve">Permit publication of Tier A aggregate metrics at circuit level, with the 15-business-day OSCA review window applying to each publication.</w:t>
      </w:r>
    </w:p>
    <w:p>
      <w:pPr>
        <w:spacing w:after="160"/>
      </w:pPr>
      <w:r>
        <w:t xml:space="preserve">The pilot does NOT ask the circuits to publish judge-level data. It does NOT require any changes to court operations. It does NOT alter case management or docket scheduling. It does NOT require additional staffing from the circuits.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04 · PILOT COUNTY SELECTION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2026-04-20T23:18:42.668Z</dcterms:created>
  <dcterms:modified xsi:type="dcterms:W3CDTF">2026-04-20T23:18:42.668Z</dcterms:modified>
</cp:coreProperties>
</file>

<file path=docProps/custom.xml><?xml version="1.0" encoding="utf-8"?>
<Properties xmlns="http://schemas.openxmlformats.org/officeDocument/2006/custom-properties" xmlns:vt="http://schemas.openxmlformats.org/officeDocument/2006/docPropsVTypes"/>
</file>