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16</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Success Criteria</w:t>
      </w:r>
    </w:p>
    <w:p>
      <w:pPr>
        <w:spacing w:after="240"/>
      </w:pPr>
      <w:r>
        <w:rPr>
          <w:b/>
          <w:bCs/>
          <w:color w:val="0D1220"/>
          <w:sz w:val="52"/>
          <w:szCs w:val="52"/>
        </w:rPr>
        <w:t xml:space="preserve">&amp; Evaluation Framework</w:t>
      </w:r>
    </w:p>
    <w:p>
      <w:pPr>
        <w:spacing w:after="400"/>
      </w:pPr>
      <w:r>
        <w:rPr>
          <w:color w:val="1F2744"/>
          <w:sz w:val="26"/>
          <w:szCs w:val="26"/>
        </w:rPr>
        <w:t xml:space="preserve">What pilot success looks like at three levels (MVP, Target, Stretch) and how it will be measured.</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Board · Funders · Evaluator</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THREE LEVELS</w:t>
      </w:r>
    </w:p>
    <w:p>
      <w:pPr>
        <w:pStyle w:val="Heading1"/>
      </w:pPr>
      <w:r>
        <w:t xml:space="preserve">MVP · Target · Stretch</w:t>
      </w:r>
    </w:p>
    <w:p>
      <w:pPr>
        <w:spacing w:after="160"/>
      </w:pPr>
      <w:r>
        <w:t xml:space="preserve">Success is defined at three levels to prevent gaming the definition downward when things go well, or upward when things go poorly. The MVP level must all be met for the pilot to be considered successful. The Target level is the realistic success case. The Stretch level requires exceptional execution and favorable conditions.</w:t>
      </w:r>
    </w:p>
    <w:p>
      <w:r>
        <w:br w:type="page"/>
      </w:r>
    </w:p>
    <w:p>
      <w:pPr>
        <w:spacing w:after="40" w:before="240"/>
      </w:pPr>
      <w:r>
        <w:rPr>
          <w:b/>
          <w:bCs/>
          <w:color w:val="B8371F"/>
          <w:spacing w:val="40"/>
          <w:sz w:val="18"/>
          <w:szCs w:val="18"/>
        </w:rPr>
        <w:t xml:space="preserve">MVP LEVEL</w:t>
      </w:r>
    </w:p>
    <w:p>
      <w:pPr>
        <w:pStyle w:val="Heading1"/>
      </w:pPr>
      <w:r>
        <w:t xml:space="preserve">Minimum Viable Success</w:t>
      </w:r>
    </w:p>
    <w:p>
      <w:pPr>
        <w:spacing w:after="160"/>
      </w:pPr>
      <w:r>
        <w:t xml:space="preserve">All of the following must be true at Month 36 for the pilot to be declared successful at the minimum threshold:</w:t>
      </w:r>
    </w:p>
    <w:p>
      <w:pPr>
        <w:pStyle w:val="ListParagraph"/>
        <w:numPr>
          <w:ilvl w:val="0"/>
          <w:numId w:val="2"/>
        </w:numPr>
        <w:spacing w:after="80"/>
      </w:pPr>
      <w:r>
        <w:t xml:space="preserve">Three pilot circuits are actively participating under executed MOUs.</w:t>
      </w:r>
    </w:p>
    <w:p>
      <w:pPr>
        <w:pStyle w:val="ListParagraph"/>
        <w:numPr>
          <w:ilvl w:val="0"/>
          <w:numId w:val="2"/>
        </w:numPr>
        <w:spacing w:after="80"/>
      </w:pPr>
      <w:r>
        <w:t xml:space="preserve">At least 18 Tier A metrics are published quarterly for all three circuits.</w:t>
      </w:r>
    </w:p>
    <w:p>
      <w:pPr>
        <w:pStyle w:val="ListParagraph"/>
        <w:numPr>
          <w:ilvl w:val="0"/>
          <w:numId w:val="2"/>
        </w:numPr>
        <w:spacing w:after="80"/>
      </w:pPr>
      <w:r>
        <w:t xml:space="preserve">The Methodology Board has all eleven seats filled and has conducted at least eight quarterly meetings.</w:t>
      </w:r>
    </w:p>
    <w:p>
      <w:pPr>
        <w:pStyle w:val="ListParagraph"/>
        <w:numPr>
          <w:ilvl w:val="0"/>
          <w:numId w:val="2"/>
        </w:numPr>
        <w:spacing w:after="80"/>
      </w:pPr>
      <w:r>
        <w:t xml:space="preserve">The Data Ethics Review has completed at least four metric reviews.</w:t>
      </w:r>
    </w:p>
    <w:p>
      <w:pPr>
        <w:pStyle w:val="ListParagraph"/>
        <w:numPr>
          <w:ilvl w:val="0"/>
          <w:numId w:val="2"/>
        </w:numPr>
        <w:spacing w:after="80"/>
      </w:pPr>
      <w:r>
        <w:t xml:space="preserve">No re-identification incidents have occurred.</w:t>
      </w:r>
    </w:p>
    <w:p>
      <w:pPr>
        <w:pStyle w:val="ListParagraph"/>
        <w:numPr>
          <w:ilvl w:val="0"/>
          <w:numId w:val="2"/>
        </w:numPr>
        <w:spacing w:after="80"/>
      </w:pPr>
      <w:r>
        <w:t xml:space="preserve">MOCADSV has maintained its endorsement throughout.</w:t>
      </w:r>
    </w:p>
    <w:p>
      <w:pPr>
        <w:pStyle w:val="ListParagraph"/>
        <w:numPr>
          <w:ilvl w:val="0"/>
          <w:numId w:val="2"/>
        </w:numPr>
        <w:spacing w:after="80"/>
      </w:pPr>
      <w:r>
        <w:t xml:space="preserve">The Catalog has a sustainability plan in place for post-pilot operations.</w:t>
      </w:r>
    </w:p>
    <w:p>
      <w:pPr>
        <w:spacing w:after="40" w:before="240"/>
      </w:pPr>
      <w:r>
        <w:rPr>
          <w:b/>
          <w:bCs/>
          <w:color w:val="B8371F"/>
          <w:spacing w:val="40"/>
          <w:sz w:val="18"/>
          <w:szCs w:val="18"/>
        </w:rPr>
        <w:t xml:space="preserve">TARGET LEVEL</w:t>
      </w:r>
    </w:p>
    <w:p>
      <w:pPr>
        <w:pStyle w:val="Heading1"/>
      </w:pPr>
      <w:r>
        <w:t xml:space="preserve">Realistic Success</w:t>
      </w:r>
    </w:p>
    <w:p>
      <w:pPr>
        <w:spacing w:after="160"/>
      </w:pPr>
      <w:r>
        <w:t xml:space="preserve">In addition to all MVP criteria, the following are met:</w:t>
      </w:r>
    </w:p>
    <w:p>
      <w:pPr>
        <w:pStyle w:val="ListParagraph"/>
        <w:numPr>
          <w:ilvl w:val="0"/>
          <w:numId w:val="2"/>
        </w:numPr>
        <w:spacing w:after="80"/>
      </w:pPr>
      <w:r>
        <w:t xml:space="preserve">At least one Tier C metric (parenting time compliance) publishes at circuit-aggregate level with at least 500 opted-in participants.</w:t>
      </w:r>
    </w:p>
    <w:p>
      <w:pPr>
        <w:pStyle w:val="ListParagraph"/>
        <w:numPr>
          <w:ilvl w:val="0"/>
          <w:numId w:val="2"/>
        </w:numPr>
        <w:spacing w:after="80"/>
      </w:pPr>
      <w:r>
        <w:t xml:space="preserve">Three peer-reviewed academic publications cite or use Catalog data.</w:t>
      </w:r>
    </w:p>
    <w:p>
      <w:pPr>
        <w:pStyle w:val="ListParagraph"/>
        <w:numPr>
          <w:ilvl w:val="0"/>
          <w:numId w:val="2"/>
        </w:numPr>
        <w:spacing w:after="80"/>
      </w:pPr>
      <w:r>
        <w:t xml:space="preserve">A presentation has been given at a national academic or professional venue.</w:t>
      </w:r>
    </w:p>
    <w:p>
      <w:pPr>
        <w:pStyle w:val="ListParagraph"/>
        <w:numPr>
          <w:ilvl w:val="0"/>
          <w:numId w:val="2"/>
        </w:numPr>
        <w:spacing w:after="80"/>
      </w:pPr>
      <w:r>
        <w:t xml:space="preserve">At least one peer state has signaled interest in schema adoption.</w:t>
      </w:r>
    </w:p>
    <w:p>
      <w:pPr>
        <w:pStyle w:val="ListParagraph"/>
        <w:numPr>
          <w:ilvl w:val="0"/>
          <w:numId w:val="2"/>
        </w:numPr>
        <w:spacing w:after="80"/>
      </w:pPr>
      <w:r>
        <w:t xml:space="preserve">Non-OSCA funding has been secured for Year 4 at at least 50% of Year 3 levels.</w:t>
      </w:r>
    </w:p>
    <w:p>
      <w:pPr>
        <w:spacing w:after="40" w:before="240"/>
      </w:pPr>
      <w:r>
        <w:rPr>
          <w:b/>
          <w:bCs/>
          <w:color w:val="B8371F"/>
          <w:spacing w:val="40"/>
          <w:sz w:val="18"/>
          <w:szCs w:val="18"/>
        </w:rPr>
        <w:t xml:space="preserve">STRETCH LEVEL</w:t>
      </w:r>
    </w:p>
    <w:p>
      <w:pPr>
        <w:pStyle w:val="Heading1"/>
      </w:pPr>
      <w:r>
        <w:t xml:space="preserve">Exceptional Success</w:t>
      </w:r>
    </w:p>
    <w:p>
      <w:pPr>
        <w:spacing w:after="160"/>
      </w:pPr>
      <w:r>
        <w:t xml:space="preserve">In addition to all Target criteria:</w:t>
      </w:r>
    </w:p>
    <w:p>
      <w:pPr>
        <w:pStyle w:val="ListParagraph"/>
        <w:numPr>
          <w:ilvl w:val="0"/>
          <w:numId w:val="2"/>
        </w:numPr>
        <w:spacing w:after="80"/>
      </w:pPr>
      <w:r>
        <w:t xml:space="preserve">A peer state has executed an MOU for schema adoption.</w:t>
      </w:r>
    </w:p>
    <w:p>
      <w:pPr>
        <w:pStyle w:val="ListParagraph"/>
        <w:numPr>
          <w:ilvl w:val="0"/>
          <w:numId w:val="2"/>
        </w:numPr>
        <w:spacing w:after="80"/>
      </w:pPr>
      <w:r>
        <w:t xml:space="preserve">Draft legislation (using the RSMo language from Doc 05 or equivalent) has been pre-filed in Missouri.</w:t>
      </w:r>
    </w:p>
    <w:p>
      <w:pPr>
        <w:pStyle w:val="ListParagraph"/>
        <w:numPr>
          <w:ilvl w:val="0"/>
          <w:numId w:val="2"/>
        </w:numPr>
        <w:spacing w:after="80"/>
      </w:pPr>
      <w:r>
        <w:t xml:space="preserve">At least one full peer-reviewed publication demonstrates a policy-relevant finding from Catalog data.</w:t>
      </w:r>
    </w:p>
    <w:p>
      <w:pPr>
        <w:pStyle w:val="ListParagraph"/>
        <w:numPr>
          <w:ilvl w:val="0"/>
          <w:numId w:val="2"/>
        </w:numPr>
        <w:spacing w:after="80"/>
      </w:pPr>
      <w:r>
        <w:t xml:space="preserve">The Catalog has been invited to present at a federal venue (HHS, DOJ, or equivalent).</w:t>
      </w:r>
    </w:p>
    <w:p>
      <w:pPr>
        <w:pStyle w:val="ListParagraph"/>
        <w:numPr>
          <w:ilvl w:val="0"/>
          <w:numId w:val="2"/>
        </w:numPr>
        <w:spacing w:after="80"/>
      </w:pPr>
      <w:r>
        <w:t xml:space="preserve">Sustainable operational funding is in place for the Catalog past Year 5 without ongoing philanthropy.</w:t>
      </w:r>
    </w:p>
    <w:p>
      <w:r>
        <w:br w:type="page"/>
      </w:r>
    </w:p>
    <w:p>
      <w:pPr>
        <w:spacing w:after="40" w:before="240"/>
      </w:pPr>
      <w:r>
        <w:rPr>
          <w:b/>
          <w:bCs/>
          <w:color w:val="B8371F"/>
          <w:spacing w:val="40"/>
          <w:sz w:val="18"/>
          <w:szCs w:val="18"/>
        </w:rPr>
        <w:t xml:space="preserve">EVALUATION DESIGN</w:t>
      </w:r>
    </w:p>
    <w:p>
      <w:pPr>
        <w:pStyle w:val="Heading1"/>
      </w:pPr>
      <w:r>
        <w:t xml:space="preserve">How We Measure</w:t>
      </w:r>
    </w:p>
    <w:p>
      <w:pPr>
        <w:spacing w:after="160"/>
      </w:pPr>
      <w:r>
        <w:t xml:space="preserve">A formal evaluation takes place at Months 12, 24, and 36, commissioned by the Board and conducted by an evaluator external to the Platform Partner. The evaluator has access to operational metrics, financial records, stakeholder interview subjects, and the meeting minutes of both the Methodology Board and the Data Ethics Review. The evaluator does NOT have access to Tier B or C data.</w:t>
      </w:r>
    </w:p>
    <w:p>
      <w:pPr>
        <w:pStyle w:val="Heading3"/>
      </w:pPr>
      <w:r>
        <w:t xml:space="preserve">Three Kinds of Evaluation</w:t>
      </w:r>
    </w:p>
    <w:p>
      <w:pPr>
        <w:pStyle w:val="ListParagraph"/>
        <w:numPr>
          <w:ilvl w:val="0"/>
          <w:numId w:val="3"/>
        </w:numPr>
        <w:spacing w:after="80"/>
      </w:pPr>
      <w:r>
        <w:t xml:space="preserve">PROCESS EVALUATION: Are the governance mechanisms working? Is the Methodology Board functional, balanced, and rigorous? Is the Data Ethics Review providing meaningful independent scrutiny?</w:t>
      </w:r>
    </w:p>
    <w:p>
      <w:pPr>
        <w:pStyle w:val="ListParagraph"/>
        <w:numPr>
          <w:ilvl w:val="0"/>
          <w:numId w:val="3"/>
        </w:numPr>
        <w:spacing w:after="80"/>
      </w:pPr>
      <w:r>
        <w:t xml:space="preserve">OUTCOME EVALUATION: Are the right metrics being published? Are publications accurate, defensible, and used by stakeholders? Is the de-identification pipeline working as designed?</w:t>
      </w:r>
    </w:p>
    <w:p>
      <w:pPr>
        <w:pStyle w:val="ListParagraph"/>
        <w:numPr>
          <w:ilvl w:val="0"/>
          <w:numId w:val="3"/>
        </w:numPr>
        <w:spacing w:after="80"/>
      </w:pPr>
      <w:r>
        <w:t xml:space="preserve">IMPACT EVALUATION: Has the existence of the Catalog changed family court operations, stakeholder behavior, or policy discussions in the pilot circuits? (This is hardest to measure and gets the least weight at the MVP level.)</w:t>
      </w:r>
    </w:p>
    <w:p>
      <w:pPr>
        <w:spacing w:after="40" w:before="240"/>
      </w:pPr>
      <w:r>
        <w:rPr>
          <w:b/>
          <w:bCs/>
          <w:color w:val="B8371F"/>
          <w:spacing w:val="40"/>
          <w:sz w:val="18"/>
          <w:szCs w:val="18"/>
        </w:rPr>
        <w:t xml:space="preserve">STAKEHOLDER SATISFACTION</w:t>
      </w:r>
    </w:p>
    <w:p>
      <w:pPr>
        <w:pStyle w:val="Heading1"/>
      </w:pPr>
      <w:r>
        <w:t xml:space="preserve">Survey Framework</w:t>
      </w:r>
    </w:p>
    <w:p>
      <w:pPr>
        <w:spacing w:after="160"/>
      </w:pPr>
      <w:r>
        <w:t xml:space="preserve">At Months 12, 24, and 36, structured surveys are administered to the key stakeholder groups. Minimum response thresholds must be met for the survey to be considered valid. The surveys are conducted by the external evaluator, not by the Platform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STAKEHOLDER GROUP</w:t>
            </w:r>
          </w:p>
        </w:tc>
        <w:tc>
          <w:tcPr>
            <w:tcW w:type="dxa" w:w="2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MIN RESPONSES</w:t>
            </w:r>
          </w:p>
        </w:tc>
        <w:tc>
          <w:tcPr>
            <w:tcW w:type="dxa" w:w="3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TARGET SCORE</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Pilot circuit judges and administrators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15</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 3.5 / 5.0</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Participating attorneys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 3.5 / 5.0</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Academic partners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 4.0 / 5.0</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DV advocacy organizations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 4.0 / 5.0 (trust)</w:t>
            </w:r>
          </w:p>
        </w:tc>
      </w:tr>
      <w:tr>
        <w:tc>
          <w:tcPr>
            <w:tcW w:type="dxa" w:w="4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Opted-in Tier C users</w:t>
            </w:r>
          </w:p>
        </w:tc>
        <w:tc>
          <w:tcPr>
            <w:tcW w:type="dxa" w:w="2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100</w:t>
            </w:r>
          </w:p>
        </w:tc>
        <w:tc>
          <w:tcPr>
            <w:tcW w:type="dxa" w:w="3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 4.0 / 5.0</w:t>
            </w:r>
          </w:p>
        </w:tc>
      </w:tr>
    </w:tbl>
    <w:p>
      <w:pPr>
        <w:spacing w:after="40" w:before="240"/>
      </w:pPr>
      <w:r>
        <w:rPr>
          <w:b/>
          <w:bCs/>
          <w:color w:val="B8371F"/>
          <w:spacing w:val="40"/>
          <w:sz w:val="18"/>
          <w:szCs w:val="18"/>
        </w:rPr>
        <w:t xml:space="preserve">PRE-REGISTERED HYPOTHESES</w:t>
      </w:r>
    </w:p>
    <w:p>
      <w:pPr>
        <w:pStyle w:val="Heading1"/>
      </w:pPr>
      <w:r>
        <w:t xml:space="preserve">What We Predict Now, Not Later</w:t>
      </w:r>
    </w:p>
    <w:p>
      <w:pPr>
        <w:spacing w:after="160"/>
      </w:pPr>
      <w:r>
        <w:t xml:space="preserve">To avoid the evaluation being a post-hoc rationalization of whatever happened, three hypotheses are pre-registered now. These will be evaluated at Month 36 without modification.</w:t>
      </w:r>
    </w:p>
    <w:p>
      <w:pPr>
        <w:pStyle w:val="Heading3"/>
      </w:pPr>
      <w:r>
        <w:t xml:space="preserve">Hypothesis 1</w:t>
      </w:r>
    </w:p>
    <w:p>
      <w:pPr>
        <w:spacing w:after="160"/>
      </w:pPr>
      <w:r>
        <w:t xml:space="preserve">At Month 36, pilot-circuit presiding judges will report (on a structured survey) that the Catalog has been neutral or positive for court administration — neither improving nor worsening operational efficiency as perceived. This would be a success (we do not expect dramatic operational impact in Phase 1).</w:t>
      </w:r>
    </w:p>
    <w:p>
      <w:pPr>
        <w:pStyle w:val="Heading3"/>
      </w:pPr>
      <w:r>
        <w:t xml:space="preserve">Hypothesis 2</w:t>
      </w:r>
    </w:p>
    <w:p>
      <w:pPr>
        <w:spacing w:after="160"/>
      </w:pPr>
      <w:r>
        <w:t xml:space="preserve">At Month 36, at least two jurisdictions outside the pilot circuits will have requested technical assistance to evaluate Catalog adoption. Demand signal from external jurisdictions is a strong leading indicator of framework viability.</w:t>
      </w:r>
    </w:p>
    <w:p>
      <w:pPr>
        <w:pStyle w:val="Heading3"/>
      </w:pPr>
      <w:r>
        <w:t xml:space="preserve">Hypothesis 3</w:t>
      </w:r>
    </w:p>
    <w:p>
      <w:pPr>
        <w:spacing w:after="160"/>
      </w:pPr>
      <w:r>
        <w:t xml:space="preserve">At Month 36, the coefficient of variation in time-to-disposition across the three pilot circuits will be measurably lower than at Month 12. Improved transparency tends to modestly reduce extreme variation as circuits informally benchmark against each other. We predict a 10-20% reduction.</w:t>
      </w:r>
    </w:p>
    <w:p>
      <w:pPr>
        <w:spacing w:after="40" w:before="240"/>
      </w:pPr>
      <w:r>
        <w:rPr>
          <w:b/>
          <w:bCs/>
          <w:color w:val="B8371F"/>
          <w:spacing w:val="40"/>
          <w:sz w:val="18"/>
          <w:szCs w:val="18"/>
        </w:rPr>
        <w:t xml:space="preserve">FAILURE CONDITIONS</w:t>
      </w:r>
    </w:p>
    <w:p>
      <w:pPr>
        <w:pStyle w:val="Heading1"/>
      </w:pPr>
      <w:r>
        <w:t xml:space="preserve">What Would Constitute Failure</w:t>
      </w:r>
    </w:p>
    <w:p>
      <w:pPr>
        <w:spacing w:after="160"/>
      </w:pPr>
      <w:r>
        <w:t xml:space="preserve">The pilot would be considered unsuccessful — and the framework may need to be fundamentally redesigned rather than iterated — if any of the following occur:</w:t>
      </w:r>
    </w:p>
    <w:p>
      <w:pPr>
        <w:pStyle w:val="ListParagraph"/>
        <w:numPr>
          <w:ilvl w:val="0"/>
          <w:numId w:val="3"/>
        </w:numPr>
        <w:spacing w:after="80"/>
      </w:pPr>
      <w:r>
        <w:t xml:space="preserve">A re-identification incident involving a DV survivor, regardless of whether it was caused by the Catalog or by external linkage.</w:t>
      </w:r>
    </w:p>
    <w:p>
      <w:pPr>
        <w:pStyle w:val="ListParagraph"/>
        <w:numPr>
          <w:ilvl w:val="0"/>
          <w:numId w:val="3"/>
        </w:numPr>
        <w:spacing w:after="80"/>
      </w:pPr>
      <w:r>
        <w:t xml:space="preserve">MOCADSV publicly withdraws its endorsement.</w:t>
      </w:r>
    </w:p>
    <w:p>
      <w:pPr>
        <w:pStyle w:val="ListParagraph"/>
        <w:numPr>
          <w:ilvl w:val="0"/>
          <w:numId w:val="3"/>
        </w:numPr>
        <w:spacing w:after="80"/>
      </w:pPr>
      <w:r>
        <w:t xml:space="preserve">A pilot circuit withdraws for cause related to the Catalog's operations.</w:t>
      </w:r>
    </w:p>
    <w:p>
      <w:pPr>
        <w:pStyle w:val="ListParagraph"/>
        <w:numPr>
          <w:ilvl w:val="0"/>
          <w:numId w:val="3"/>
        </w:numPr>
        <w:spacing w:after="80"/>
      </w:pPr>
      <w:r>
        <w:t xml:space="preserve">A court finds the framework to be in violation of Missouri or federal privacy law.</w:t>
      </w:r>
    </w:p>
    <w:p>
      <w:pPr>
        <w:pStyle w:val="ListParagraph"/>
        <w:numPr>
          <w:ilvl w:val="0"/>
          <w:numId w:val="3"/>
        </w:numPr>
        <w:spacing w:after="80"/>
      </w:pPr>
      <w:r>
        <w:t xml:space="preserve">The framework is demonstrated to have been used adversarially in litigation despite the evidentiary shield.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16 · SUCCESS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2026-04-20T22:07:38.565Z</dcterms:created>
  <dcterms:modified xsi:type="dcterms:W3CDTF">2026-04-20T22:07:38.565Z</dcterms:modified>
</cp:coreProperties>
</file>

<file path=docProps/custom.xml><?xml version="1.0" encoding="utf-8"?>
<Properties xmlns="http://schemas.openxmlformats.org/officeDocument/2006/custom-properties" xmlns:vt="http://schemas.openxmlformats.org/officeDocument/2006/docPropsVTypes"/>
</file>