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18</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Press / FAQ</w:t>
      </w:r>
    </w:p>
    <w:p>
      <w:pPr>
        <w:spacing w:after="240"/>
      </w:pPr>
      <w:r>
        <w:rPr>
          <w:b/>
          <w:bCs/>
          <w:color w:val="0D1220"/>
          <w:sz w:val="52"/>
          <w:szCs w:val="52"/>
        </w:rPr>
        <w:t xml:space="preserve">Briefing</w:t>
      </w:r>
    </w:p>
    <w:p>
      <w:pPr>
        <w:spacing w:after="400"/>
      </w:pPr>
      <w:r>
        <w:rPr>
          <w:color w:val="1F2744"/>
          <w:sz w:val="26"/>
          <w:szCs w:val="26"/>
        </w:rPr>
        <w:t xml:space="preserve">Plain-language answers to the most common questions, organized by audience.</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Journalists · Stakeholders · Public</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HOW TO USE</w:t>
      </w:r>
    </w:p>
    <w:p>
      <w:pPr>
        <w:pStyle w:val="Heading1"/>
      </w:pPr>
      <w:r>
        <w:t xml:space="preserve">Audience Navigation</w:t>
      </w:r>
    </w:p>
    <w:p>
      <w:pPr>
        <w:spacing w:after="160"/>
      </w:pPr>
      <w:r>
        <w:t xml:space="preserve">This briefing is organized by audience rather than by topic. Each section contains the questions most relevant to that group. Some questions appear in multiple sections with different framing. The Communications Lead is the single point of contact for any follow-up; email and phone information is on the last page.</w:t>
      </w:r>
    </w:p>
    <w:p>
      <w:r>
        <w:br w:type="page"/>
      </w:r>
    </w:p>
    <w:p>
      <w:pPr>
        <w:spacing w:after="40" w:before="240"/>
      </w:pPr>
      <w:r>
        <w:rPr>
          <w:b/>
          <w:bCs/>
          <w:color w:val="B8371F"/>
          <w:spacing w:val="40"/>
          <w:sz w:val="18"/>
          <w:szCs w:val="18"/>
        </w:rPr>
        <w:t xml:space="preserve">FOR OSCA AND COURT ADMINISTRATORS</w:t>
      </w:r>
    </w:p>
    <w:p>
      <w:pPr>
        <w:pStyle w:val="Heading1"/>
      </w:pPr>
      <w:r>
        <w:t xml:space="preserve">Administrative Questions</w:t>
      </w:r>
    </w:p>
    <w:p>
      <w:pPr>
        <w:pStyle w:val="Heading3"/>
      </w:pPr>
      <w:r>
        <w:t xml:space="preserve">Is this a judicial scorecard?</w:t>
      </w:r>
    </w:p>
    <w:p>
      <w:pPr>
        <w:spacing w:after="160"/>
      </w:pPr>
      <w:r>
        <w:t xml:space="preserve">No. The Catalog does not rank or compare named individual judges or attorneys. Judge-level data, where it exists at all, is private to the individual judge and to their circuit's presiding judge. Public metrics are reported at the circuit aggregate or higher.</w:t>
      </w:r>
    </w:p>
    <w:p>
      <w:pPr>
        <w:pStyle w:val="Heading3"/>
      </w:pPr>
      <w:r>
        <w:t xml:space="preserve">What does OSCA have to do?</w:t>
      </w:r>
    </w:p>
    <w:p>
      <w:pPr>
        <w:spacing w:after="160"/>
      </w:pPr>
      <w:r>
        <w:t xml:space="preserve">Under the pilot MOU, OSCA provides quarterly aggregate data feeds that are already substantially prepared for OSCA's own statistical reports. OSCA reviews any Catalog publication involving OSCA-provided data with a 15-business-day window. OSCA does not bear operational responsibility for the Catalog; OSCA does not publish Catalog materials; OSCA does not respond to Catalog-related inquiries beyond what a research partner customarily does.</w:t>
      </w:r>
    </w:p>
    <w:p>
      <w:pPr>
        <w:pStyle w:val="Heading3"/>
      </w:pPr>
      <w:r>
        <w:t xml:space="preserve">What happens if OSCA has concerns with a specific metric?</w:t>
      </w:r>
    </w:p>
    <w:p>
      <w:pPr>
        <w:spacing w:after="160"/>
      </w:pPr>
      <w:r>
        <w:t xml:space="preserve">OSCA's concerns are addressed through the Methodology Board, on which the judicial constituency is seated. Any metric that touches OSCA operations receives a formal OSCA review. The MOU preserves OSCA's ability to flag concerns at any time, including after publication. In the extreme case of unresolvable disagreement, OSCA can terminate the MOU with 90 days' notice.</w:t>
      </w:r>
    </w:p>
    <w:p>
      <w:pPr>
        <w:spacing w:after="40" w:before="240"/>
      </w:pPr>
      <w:r>
        <w:rPr>
          <w:b/>
          <w:bCs/>
          <w:color w:val="B8371F"/>
          <w:spacing w:val="40"/>
          <w:sz w:val="18"/>
          <w:szCs w:val="18"/>
        </w:rPr>
        <w:t xml:space="preserve">FOR JUDGES</w:t>
      </w:r>
    </w:p>
    <w:p>
      <w:pPr>
        <w:pStyle w:val="Heading1"/>
      </w:pPr>
      <w:r>
        <w:t xml:space="preserve">Bench Questions</w:t>
      </w:r>
    </w:p>
    <w:p>
      <w:pPr>
        <w:pStyle w:val="Heading3"/>
      </w:pPr>
      <w:r>
        <w:t xml:space="preserve">Will my rulings be publicly reviewed?</w:t>
      </w:r>
    </w:p>
    <w:p>
      <w:pPr>
        <w:spacing w:after="160"/>
      </w:pPr>
      <w:r>
        <w:t xml:space="preserve">No. Individual judge data is Tier B, private to you and to your presiding judge. It is not published at any level of disaggregation that would identify you. The Catalog's Methodology Board includes retired judges and operates under explicit judicial-independence principles.</w:t>
      </w:r>
    </w:p>
    <w:p>
      <w:pPr>
        <w:pStyle w:val="Heading3"/>
      </w:pPr>
      <w:r>
        <w:t xml:space="preserve">Is this going to affect judicial retention?</w:t>
      </w:r>
    </w:p>
    <w:p>
      <w:pPr>
        <w:spacing w:after="160"/>
      </w:pPr>
      <w:r>
        <w:t xml:space="preserve">The Catalog does not publish performance ratings, rankings, or any individual-level data usable in retention campaigns. The Methodology Board has explicit protective provisions against this kind of use, and the MOU prohibits it. Retention elections are an entirely separate institutional process.</w:t>
      </w:r>
    </w:p>
    <w:p>
      <w:pPr>
        <w:pStyle w:val="Heading3"/>
      </w:pPr>
      <w:r>
        <w:t xml:space="preserve">Why should I participate?</w:t>
      </w:r>
    </w:p>
    <w:p>
      <w:pPr>
        <w:spacing w:after="160"/>
      </w:pPr>
      <w:r>
        <w:t xml:space="preserve">Private peer benchmarks are professional tools available to most other professions but not currently to judges. The Catalog provides these tools in a way that is protected from public disclosure. It also supports continuing judicial education by surfacing issue areas where bench-wide patterns suggest training could improve consistency.</w:t>
      </w:r>
    </w:p>
    <w:p>
      <w:r>
        <w:br w:type="page"/>
      </w:r>
    </w:p>
    <w:p>
      <w:pPr>
        <w:spacing w:after="40" w:before="240"/>
      </w:pPr>
      <w:r>
        <w:rPr>
          <w:b/>
          <w:bCs/>
          <w:color w:val="B8371F"/>
          <w:spacing w:val="40"/>
          <w:sz w:val="18"/>
          <w:szCs w:val="18"/>
        </w:rPr>
        <w:t xml:space="preserve">FOR DV ADVOCATES</w:t>
      </w:r>
    </w:p>
    <w:p>
      <w:pPr>
        <w:pStyle w:val="Heading1"/>
      </w:pPr>
      <w:r>
        <w:t xml:space="preserve">Safety Questions</w:t>
      </w:r>
    </w:p>
    <w:p>
      <w:pPr>
        <w:pStyle w:val="Heading3"/>
      </w:pPr>
      <w:r>
        <w:t xml:space="preserve">How are survivors protected?</w:t>
      </w:r>
    </w:p>
    <w:p>
      <w:pPr>
        <w:spacing w:after="160"/>
      </w:pPr>
      <w:r>
        <w:t xml:space="preserve">Multiple layers. First, the Protective Order Data Confidentiality section (draft RSMo § 455.085) imposes a floor of 25 petitions per reporting period below which no geographic publication occurs. Second, k-anonymity of 10 is enforced on every published cell. Third, the Data Ethics Review has a dedicated survivor-advocate seat with BLOCK authority on any proposed metric. Fourth, MOCADSV has a permanent Methodology Board seat.</w:t>
      </w:r>
    </w:p>
    <w:p>
      <w:pPr>
        <w:pStyle w:val="Heading3"/>
      </w:pPr>
      <w:r>
        <w:t xml:space="preserve">Could this be used against survivors?</w:t>
      </w:r>
    </w:p>
    <w:p>
      <w:pPr>
        <w:spacing w:after="160"/>
      </w:pPr>
      <w:r>
        <w:t xml:space="preserve">The framework's architecture specifically prevents adversarial use in litigation. Individual compliance data carries a statutory evidentiary shield (draft RSMo § 452.317). Aggregate data has no standing as evidence in individual cases. The re-identification prohibition carries permanent revocation as penalty.</w:t>
      </w:r>
    </w:p>
    <w:p>
      <w:pPr>
        <w:pStyle w:val="Heading3"/>
      </w:pPr>
      <w:r>
        <w:t xml:space="preserve">What if MOCADSV has concerns?</w:t>
      </w:r>
    </w:p>
    <w:p>
      <w:pPr>
        <w:spacing w:after="160"/>
      </w:pPr>
      <w:r>
        <w:t xml:space="preserve">MOCADSV holds a permanent Methodology Board seat AND a dedicated Data Ethics Review seat (separate individuals). Either can trigger a block on specific metric adoptions. Beyond those formal mechanisms, MOCADSV's public endorsement is considered a necessary condition for the Catalog's operation; withdrawal would trigger a full program review.</w:t>
      </w:r>
    </w:p>
    <w:p>
      <w:pPr>
        <w:spacing w:after="40" w:before="240"/>
      </w:pPr>
      <w:r>
        <w:rPr>
          <w:b/>
          <w:bCs/>
          <w:color w:val="B8371F"/>
          <w:spacing w:val="40"/>
          <w:sz w:val="18"/>
          <w:szCs w:val="18"/>
        </w:rPr>
        <w:t xml:space="preserve">FOR FATHERS' RIGHTS ADVOCATES</w:t>
      </w:r>
    </w:p>
    <w:p>
      <w:pPr>
        <w:pStyle w:val="Heading1"/>
      </w:pPr>
      <w:r>
        <w:t xml:space="preserve">Balance Questions</w:t>
      </w:r>
    </w:p>
    <w:p>
      <w:pPr>
        <w:pStyle w:val="Heading3"/>
      </w:pPr>
      <w:r>
        <w:t xml:space="preserve">Is this going to be one-sided?</w:t>
      </w:r>
    </w:p>
    <w:p>
      <w:pPr>
        <w:spacing w:after="160"/>
      </w:pPr>
      <w:r>
        <w:t xml:space="preserve">No. The bilateral measurement principle is architectural. Every metric that touches on violations measures them in both directions. Every metric measuring compliance measures it for both parents. The fathers' rights constituency has a permanent Methodology Board seat with voting authority equal to every other constituency.</w:t>
      </w:r>
    </w:p>
    <w:p>
      <w:pPr>
        <w:pStyle w:val="Heading3"/>
      </w:pPr>
      <w:r>
        <w:t xml:space="preserve">Will it show the custody disparities we see?</w:t>
      </w:r>
    </w:p>
    <w:p>
      <w:pPr>
        <w:spacing w:after="160"/>
      </w:pPr>
      <w:r>
        <w:t xml:space="preserve">The Custody Outcome Distribution metric is Tier A (public) and shows actual distributions at the circuit level. The Representation Disparity metric shows counsel-access rates by party status, which often reveals differential outcomes tied to representation rather than to gender. The Catalog does not pre-judge what the data will show; it commits to showing it fairly.</w:t>
      </w:r>
    </w:p>
    <w:p>
      <w:pPr>
        <w:pStyle w:val="Heading3"/>
      </w:pPr>
      <w:r>
        <w:t xml:space="preserve">What if the Methodology Board votes against our interests?</w:t>
      </w:r>
    </w:p>
    <w:p>
      <w:pPr>
        <w:spacing w:after="160"/>
      </w:pPr>
      <w:r>
        <w:t xml:space="preserve">The Methodology Board operates on a two-thirds supermajority rule. No constituency alone can impose methodology. The fathers' rights seat has the same veto-blocking power as the DV advocate seat. Dissents are published with every adopted methodology.</w:t>
      </w:r>
    </w:p>
    <w:p>
      <w:r>
        <w:br w:type="page"/>
      </w:r>
    </w:p>
    <w:p>
      <w:pPr>
        <w:spacing w:after="40" w:before="240"/>
      </w:pPr>
      <w:r>
        <w:rPr>
          <w:b/>
          <w:bCs/>
          <w:color w:val="B8371F"/>
          <w:spacing w:val="40"/>
          <w:sz w:val="18"/>
          <w:szCs w:val="18"/>
        </w:rPr>
        <w:t xml:space="preserve">FOR PARENTS (GENERAL)</w:t>
      </w:r>
    </w:p>
    <w:p>
      <w:pPr>
        <w:pStyle w:val="Heading1"/>
      </w:pPr>
      <w:r>
        <w:t xml:space="preserve">Practical Questions</w:t>
      </w:r>
    </w:p>
    <w:p>
      <w:pPr>
        <w:pStyle w:val="Heading3"/>
      </w:pPr>
      <w:r>
        <w:t xml:space="preserve">Can I see my own case's data?</w:t>
      </w:r>
    </w:p>
    <w:p>
      <w:pPr>
        <w:spacing w:after="160"/>
      </w:pPr>
      <w:r>
        <w:t xml:space="preserve">Tier C data (e.g., parenting time compliance) is yours and stays in your account. You see it in whatever platform you use for documentation. Aggregates contributed to the Catalog are opt-in only and can be withdrawn at any time.</w:t>
      </w:r>
    </w:p>
    <w:p>
      <w:pPr>
        <w:pStyle w:val="Heading3"/>
      </w:pPr>
      <w:r>
        <w:t xml:space="preserve">Will courts use this against me?</w:t>
      </w:r>
    </w:p>
    <w:p>
      <w:pPr>
        <w:spacing w:after="160"/>
      </w:pPr>
      <w:r>
        <w:t xml:space="preserve">Your individual compliance data carries a statutory evidentiary shield (see the draft RSMo § 452.317 language). Aggregate Catalog data has no legal standing in individual cases. Published aggregates can be cited in support of policy positions but cannot be used as evidence about a specific case or party.</w:t>
      </w:r>
    </w:p>
    <w:p>
      <w:pPr>
        <w:pStyle w:val="Heading3"/>
      </w:pPr>
      <w:r>
        <w:t xml:space="preserve">How do I contribute or opt out?</w:t>
      </w:r>
    </w:p>
    <w:p>
      <w:pPr>
        <w:spacing w:after="160"/>
      </w:pPr>
      <w:r>
        <w:t xml:space="preserve">Contribution is only through platforms that offer the Catalog's Tier C integration and only after explicit opt-in with a plain-language disclosure. There is nothing you have to do to opt out of contribution; the default is that your data is yours. The public Tier A dashboard is available to you without any opt-in.</w:t>
      </w:r>
    </w:p>
    <w:p>
      <w:pPr>
        <w:spacing w:after="40" w:before="240"/>
      </w:pPr>
      <w:r>
        <w:rPr>
          <w:b/>
          <w:bCs/>
          <w:color w:val="B8371F"/>
          <w:spacing w:val="40"/>
          <w:sz w:val="18"/>
          <w:szCs w:val="18"/>
        </w:rPr>
        <w:t xml:space="preserve">FOR JOURNALISTS</w:t>
      </w:r>
    </w:p>
    <w:p>
      <w:pPr>
        <w:pStyle w:val="Heading1"/>
      </w:pPr>
      <w:r>
        <w:t xml:space="preserve">Coverage Questions</w:t>
      </w:r>
    </w:p>
    <w:p>
      <w:pPr>
        <w:pStyle w:val="Heading3"/>
      </w:pPr>
      <w:r>
        <w:t xml:space="preserve">Can I get the underlying data?</w:t>
      </w:r>
    </w:p>
    <w:p>
      <w:pPr>
        <w:spacing w:after="160"/>
      </w:pPr>
      <w:r>
        <w:t xml:space="preserve">All Tier A data is available via a public API under CC-BY license. Tier B data requires a Data Use Agreement and IRB approval; most journalist inquiries are best served by Tier A data, which is substantial. The Communications Lead is available to help you find the right dashboard.</w:t>
      </w:r>
    </w:p>
    <w:p>
      <w:pPr>
        <w:pStyle w:val="Heading3"/>
      </w:pPr>
      <w:r>
        <w:t xml:space="preserve">How do I avoid misinterpreting the data?</w:t>
      </w:r>
    </w:p>
    <w:p>
      <w:pPr>
        <w:spacing w:after="160"/>
      </w:pPr>
      <w:r>
        <w:t xml:space="preserve">Every published metric page includes methodology, confidence intervals, sample sizes, known confounders, and limitations. A methodology primer is linked from every dashboard. Before writing, you are strongly encouraged to contact the Methodology Coordinator for a methodology briefing; it is free, fast, and will help you avoid common pitfalls.</w:t>
      </w:r>
    </w:p>
    <w:p>
      <w:pPr>
        <w:pStyle w:val="Heading3"/>
      </w:pPr>
      <w:r>
        <w:t xml:space="preserve">Who do I quote?</w:t>
      </w:r>
    </w:p>
    <w:p>
      <w:pPr>
        <w:spacing w:after="160"/>
      </w:pPr>
      <w:r>
        <w:t xml:space="preserve">The Executive Director is the default on-record spokesperson for strategic and operational questions. The Methodology Coordinator is available for technical and data questions. Board members are available for attributed comments; contact the Communications Lead to arrange. Academic partners publishing from the data should be cited per their own publications.</w:t>
      </w:r>
    </w:p>
    <w:p>
      <w:pPr>
        <w:spacing w:after="40" w:before="240"/>
      </w:pPr>
      <w:r>
        <w:rPr>
          <w:b/>
          <w:bCs/>
          <w:color w:val="B8371F"/>
          <w:spacing w:val="40"/>
          <w:sz w:val="18"/>
          <w:szCs w:val="18"/>
        </w:rPr>
        <w:t xml:space="preserve">FOR LEGISLATORS AND STAFF</w:t>
      </w:r>
    </w:p>
    <w:p>
      <w:pPr>
        <w:pStyle w:val="Heading1"/>
      </w:pPr>
      <w:r>
        <w:t xml:space="preserve">Policy Questions</w:t>
      </w:r>
    </w:p>
    <w:p>
      <w:pPr>
        <w:pStyle w:val="Heading3"/>
      </w:pPr>
      <w:r>
        <w:t xml:space="preserve">Are you asking for funding?</w:t>
      </w:r>
    </w:p>
    <w:p>
      <w:pPr>
        <w:spacing w:after="160"/>
      </w:pPr>
      <w:r>
        <w:t xml:space="preserve">Not in Phase 1. The pilot is funded philanthropically and operates under existing OSCA research authority. Future statutory authorization is contemplated in Document 05 but is explicitly not on the table until pilot results are available at Month 31-36.</w:t>
      </w:r>
    </w:p>
    <w:p>
      <w:pPr>
        <w:pStyle w:val="Heading3"/>
      </w:pPr>
      <w:r>
        <w:t xml:space="preserve">What does this cost the state?</w:t>
      </w:r>
    </w:p>
    <w:p>
      <w:pPr>
        <w:spacing w:after="160"/>
      </w:pPr>
      <w:r>
        <w:t xml:space="preserve">Zero dollars of direct state funding. Indirect cost to OSCA is limited to the 15-business-day publication review window and the quarterly data provision, which is substantially the same work OSCA already does for its own reporting.</w:t>
      </w:r>
    </w:p>
    <w:p>
      <w:pPr>
        <w:pStyle w:val="Heading3"/>
      </w:pPr>
      <w:r>
        <w:t xml:space="preserve">Why should Missouri go first?</w:t>
      </w:r>
    </w:p>
    <w:p>
      <w:pPr>
        <w:spacing w:after="160"/>
      </w:pPr>
      <w:r>
        <w:t xml:space="preserve">Missouri has the structural advantages: a centralized OSCA, three diverse pilot counties, three law-school research partners, and a cooperative bar association. Going first puts Missouri in a leadership position when peer states adopt the framework. The ongoing risk is small because the pilot operates under voluntary participation and standard research authority.</w:t>
      </w:r>
    </w:p>
    <w:p>
      <w:pPr>
        <w:spacing w:after="40" w:before="240"/>
      </w:pPr>
      <w:r>
        <w:rPr>
          <w:b/>
          <w:bCs/>
          <w:color w:val="B8371F"/>
          <w:spacing w:val="40"/>
          <w:sz w:val="18"/>
          <w:szCs w:val="18"/>
        </w:rPr>
        <w:t xml:space="preserve">CONTACT</w:t>
      </w:r>
    </w:p>
    <w:p>
      <w:pPr>
        <w:pStyle w:val="Heading1"/>
      </w:pPr>
      <w:r>
        <w:t xml:space="preserve">For Follow-Up</w:t>
      </w:r>
    </w:p>
    <w:p>
      <w:pPr>
        <w:spacing w:after="160"/>
      </w:pPr>
      <w:r>
        <w:t xml:space="preserve">Media inquiries: Communications Lead, [email TBD], [phone TBD]</w:t>
      </w:r>
    </w:p>
    <w:p>
      <w:pPr>
        <w:spacing w:after="160"/>
      </w:pPr>
      <w:r>
        <w:t xml:space="preserve">Methodology questions: Methodology Coordinator, [email TBD]</w:t>
      </w:r>
    </w:p>
    <w:p>
      <w:pPr>
        <w:spacing w:after="160"/>
      </w:pPr>
      <w:r>
        <w:t xml:space="preserve">General inquiries: info@familycourtmetriccatalog.org (placeholder)</w:t>
      </w:r>
    </w:p>
    <w:p>
      <w:pPr>
        <w:spacing w:after="160"/>
      </w:pPr>
      <w:r>
        <w:t xml:space="preserve">Email subscribe list for methodology notices: [signup URL TBD]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18 · PRESS FAQ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2026-04-20T22:07:38.695Z</dcterms:created>
  <dcterms:modified xsi:type="dcterms:W3CDTF">2026-04-20T22:07:38.695Z</dcterms:modified>
</cp:coreProperties>
</file>

<file path=docProps/custom.xml><?xml version="1.0" encoding="utf-8"?>
<Properties xmlns="http://schemas.openxmlformats.org/officeDocument/2006/custom-properties" xmlns:vt="http://schemas.openxmlformats.org/officeDocument/2006/docPropsVTypes"/>
</file>