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SPEC-02</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Private Judicial</w:t>
      </w:r>
    </w:p>
    <w:p>
      <w:pPr>
        <w:spacing w:after="240"/>
      </w:pPr>
      <w:r>
        <w:rPr>
          <w:b/>
          <w:bCs/>
          <w:color w:val="0D1220"/>
          <w:sz w:val="52"/>
          <w:szCs w:val="52"/>
        </w:rPr>
        <w:t xml:space="preserve">Dashboard UX</w:t>
      </w:r>
    </w:p>
    <w:p>
      <w:pPr>
        <w:spacing w:after="400"/>
      </w:pPr>
      <w:r>
        <w:rPr>
          <w:color w:val="1F2744"/>
          <w:sz w:val="26"/>
          <w:szCs w:val="26"/>
        </w:rPr>
        <w:t xml:space="preserve">UX specification and interaction principles. Adoption Roadmap initiative #3.</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Product · Engineering · Judicial Advisory</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§1</w:t>
      </w:r>
    </w:p>
    <w:p>
      <w:pPr>
        <w:pStyle w:val="Heading1"/>
      </w:pPr>
      <w:r>
        <w:t xml:space="preserve">Goals</w:t>
      </w:r>
    </w:p>
    <w:p>
      <w:pPr>
        <w:pStyle w:val="ListParagraph"/>
        <w:numPr>
          <w:ilvl w:val="0"/>
          <w:numId w:val="2"/>
        </w:numPr>
        <w:spacing w:after="80"/>
      </w:pPr>
      <w:r>
        <w:t xml:space="preserve">Give an individual judge a quarterly self-assessment view of their own docket performance, bench benchmarks, and appellate outcomes — private to them and their presiding judge.</w:t>
      </w:r>
    </w:p>
    <w:p>
      <w:pPr>
        <w:pStyle w:val="ListParagraph"/>
        <w:numPr>
          <w:ilvl w:val="0"/>
          <w:numId w:val="2"/>
        </w:numPr>
        <w:spacing w:after="80"/>
      </w:pPr>
      <w:r>
        <w:t xml:space="preserve">Present the data as a peer note, not an evaluator clipboard.</w:t>
      </w:r>
    </w:p>
    <w:p>
      <w:pPr>
        <w:pStyle w:val="ListParagraph"/>
        <w:numPr>
          <w:ilvl w:val="0"/>
          <w:numId w:val="2"/>
        </w:numPr>
        <w:spacing w:after="80"/>
      </w:pPr>
      <w:r>
        <w:t xml:space="preserve">Reduce the risk of misinterpretation by pairing every metric with its confidence interval, sample size, and known confounders.</w:t>
      </w:r>
    </w:p>
    <w:p>
      <w:pPr>
        <w:pStyle w:val="ListParagraph"/>
        <w:numPr>
          <w:ilvl w:val="0"/>
          <w:numId w:val="2"/>
        </w:numPr>
        <w:spacing w:after="80"/>
      </w:pPr>
      <w:r>
        <w:t xml:space="preserve">Make actionable suggestions (e.g., CLE offerings, methodology clarifications) available but always optional.</w:t>
      </w:r>
    </w:p>
    <w:p>
      <w:pPr>
        <w:spacing w:after="40" w:before="240"/>
      </w:pPr>
      <w:r>
        <w:rPr>
          <w:b/>
          <w:bCs/>
          <w:color w:val="B8371F"/>
          <w:spacing w:val="40"/>
          <w:sz w:val="18"/>
          <w:szCs w:val="18"/>
        </w:rPr>
        <w:t xml:space="preserve">§2</w:t>
      </w:r>
    </w:p>
    <w:p>
      <w:pPr>
        <w:pStyle w:val="Heading1"/>
      </w:pPr>
      <w:r>
        <w:t xml:space="preserve">Non-Goals</w:t>
      </w:r>
    </w:p>
    <w:p>
      <w:pPr>
        <w:pStyle w:val="ListParagraph"/>
        <w:numPr>
          <w:ilvl w:val="0"/>
          <w:numId w:val="2"/>
        </w:numPr>
        <w:spacing w:after="80"/>
      </w:pPr>
      <w:r>
        <w:t xml:space="preserve">Cross-judge ranking. Explicitly excluded by design; data architecture prevents it.</w:t>
      </w:r>
    </w:p>
    <w:p>
      <w:pPr>
        <w:pStyle w:val="ListParagraph"/>
        <w:numPr>
          <w:ilvl w:val="0"/>
          <w:numId w:val="2"/>
        </w:numPr>
        <w:spacing w:after="80"/>
      </w:pPr>
      <w:r>
        <w:t xml:space="preserve">Public disclosure of any dashboard content. Ever.</w:t>
      </w:r>
    </w:p>
    <w:p>
      <w:pPr>
        <w:pStyle w:val="ListParagraph"/>
        <w:numPr>
          <w:ilvl w:val="0"/>
          <w:numId w:val="2"/>
        </w:numPr>
        <w:spacing w:after="80"/>
      </w:pPr>
      <w:r>
        <w:t xml:space="preserve">Use in retention campaigns or judicial discipline. Foreclosed in MOU and Methodology Board Charter.</w:t>
      </w:r>
    </w:p>
    <w:p>
      <w:pPr>
        <w:pStyle w:val="ListParagraph"/>
        <w:numPr>
          <w:ilvl w:val="0"/>
          <w:numId w:val="2"/>
        </w:numPr>
        <w:spacing w:after="80"/>
      </w:pPr>
      <w:r>
        <w:t xml:space="preserve">Real-time or near-real-time updates. Quarterly cadence preserves interpretation time.</w:t>
      </w:r>
    </w:p>
    <w:p>
      <w:pPr>
        <w:pStyle w:val="ListParagraph"/>
        <w:numPr>
          <w:ilvl w:val="0"/>
          <w:numId w:val="2"/>
        </w:numPr>
        <w:spacing w:after="80"/>
      </w:pPr>
      <w:r>
        <w:t xml:space="preserve">Predictive features. The dashboard describes past performance, not future.</w:t>
      </w:r>
    </w:p>
    <w:p>
      <w:pPr>
        <w:spacing w:after="40" w:before="240"/>
      </w:pPr>
      <w:r>
        <w:rPr>
          <w:b/>
          <w:bCs/>
          <w:color w:val="B8371F"/>
          <w:spacing w:val="40"/>
          <w:sz w:val="18"/>
          <w:szCs w:val="18"/>
        </w:rPr>
        <w:t xml:space="preserve">§3</w:t>
      </w:r>
    </w:p>
    <w:p>
      <w:pPr>
        <w:pStyle w:val="Heading1"/>
      </w:pPr>
      <w:r>
        <w:t xml:space="preserve">Tone and Language Principles</w:t>
      </w:r>
    </w:p>
    <w:p>
      <w:pPr>
        <w:spacing w:after="160"/>
      </w:pPr>
      <w:r>
        <w:t xml:space="preserve">Every label, every caption, every notification in the judicial dashboard follows specific tone principles. These are not stylistic preferences; they are the difference between a tool judges use and a tool judges reject.</w:t>
      </w:r>
    </w:p>
    <w:p>
      <w:pPr>
        <w:pStyle w:val="Heading3"/>
      </w:pPr>
      <w:r>
        <w:t xml:space="preserve">Peer Voice, Not Evaluator Voice</w:t>
      </w:r>
    </w:p>
    <w:p>
      <w:pPr>
        <w:spacing w:after="160"/>
      </w:pPr>
      <w:r>
        <w:t xml:space="preserve">Evaluator voice: "Your reversal rate on property issues is ABOVE AVERAGE." Peer voice: "Your property-division reversal rate is modestly above bench median. The Judicial Institute offers a 2-hour CLE on recent case law. Optional; no action required."</w:t>
      </w:r>
    </w:p>
    <w:p>
      <w:pPr>
        <w:pStyle w:val="Heading3"/>
      </w:pPr>
      <w:r>
        <w:t xml:space="preserve">Context Before Number</w:t>
      </w:r>
    </w:p>
    <w:p>
      <w:pPr>
        <w:spacing w:after="160"/>
      </w:pPr>
      <w:r>
        <w:t xml:space="preserve">Every headline number is paired with bench-median context and a neutral descriptor. "241 days" in isolation is a verdict; "241 days · Bench median 268 days · 27 days faster" is useful information.</w:t>
      </w:r>
    </w:p>
    <w:p>
      <w:pPr>
        <w:pStyle w:val="Heading3"/>
      </w:pPr>
      <w:r>
        <w:t xml:space="preserve">Suppression Language</w:t>
      </w:r>
    </w:p>
    <w:p>
      <w:pPr>
        <w:spacing w:after="160"/>
      </w:pPr>
      <w:r>
        <w:t xml:space="preserve">When a cell is below the minimum sample threshold, the label reads "n&lt;5 · Suppressed" not "Insufficient data" or "Unknown." The suppression is a design choice; the language should make it visible rather than hide it behind missing-data euphemisms.</w:t>
      </w:r>
    </w:p>
    <w:p>
      <w:pPr>
        <w:pStyle w:val="Heading3"/>
      </w:pPr>
      <w:r>
        <w:t xml:space="preserve">The Word "Flag" Is Prohibited</w:t>
      </w:r>
    </w:p>
    <w:p>
      <w:pPr>
        <w:spacing w:after="160"/>
      </w:pPr>
      <w:r>
        <w:t xml:space="preserve">Flags imply evaluator surveillance. When the dashboard wants to surface something for the judge's attention, it uses language like "Worth noting" or "You may want to review." The visual treatment is a warning-tinted callout without an icon or word suggesting alert.</w:t>
      </w:r>
    </w:p>
    <w:p>
      <w:pPr>
        <w:pStyle w:val="Heading3"/>
      </w:pPr>
      <w:r>
        <w:t xml:space="preserve">Suggestions Always Include "Optional"</w:t>
      </w:r>
    </w:p>
    <w:p>
      <w:pPr>
        <w:spacing w:after="160"/>
      </w:pPr>
      <w:r>
        <w:t xml:space="preserve">Every recommendation (CLE, methodology review, additional training) includes the word "optional" in the same sentence. Not in fine print. Not in an asterisk. In the same sentence as the suggestion.</w:t>
      </w:r>
    </w:p>
    <w:p>
      <w:r>
        <w:br w:type="page"/>
      </w:r>
    </w:p>
    <w:p>
      <w:pPr>
        <w:spacing w:after="40" w:before="240"/>
      </w:pPr>
      <w:r>
        <w:rPr>
          <w:b/>
          <w:bCs/>
          <w:color w:val="B8371F"/>
          <w:spacing w:val="40"/>
          <w:sz w:val="18"/>
          <w:szCs w:val="18"/>
        </w:rPr>
        <w:t xml:space="preserve">§4</w:t>
      </w:r>
    </w:p>
    <w:p>
      <w:pPr>
        <w:pStyle w:val="Heading1"/>
      </w:pPr>
      <w:r>
        <w:t xml:space="preserve">Information Architecture</w:t>
      </w:r>
    </w:p>
    <w:p>
      <w:pPr>
        <w:pStyle w:val="Heading3"/>
      </w:pPr>
      <w:r>
        <w:t xml:space="preserve">Above the Fold</w:t>
      </w:r>
    </w:p>
    <w:p>
      <w:pPr>
        <w:spacing w:after="160"/>
      </w:pPr>
      <w:r>
        <w:t xml:space="preserve">Three metric cards with the judge's own median time-to-disposition, P90 time-to-disposition, and continuances-per-case. Each card includes bench median comparison. These three numbers answer the question most judges actually open the dashboard to see.</w:t>
      </w:r>
    </w:p>
    <w:p>
      <w:pPr>
        <w:pStyle w:val="Heading3"/>
      </w:pPr>
      <w:r>
        <w:t xml:space="preserve">Body</w:t>
      </w:r>
    </w:p>
    <w:p>
      <w:pPr>
        <w:spacing w:after="160"/>
      </w:pPr>
      <w:r>
        <w:t xml:space="preserve">A 12-month trend line showing the judge's own rolling median against bench median (dashed, light gray). Trends communicate change; isolated numbers communicate only position.</w:t>
      </w:r>
    </w:p>
    <w:p>
      <w:pPr>
        <w:spacing w:after="160"/>
      </w:pPr>
      <w:r>
        <w:t xml:space="preserve">A reversal-by-issue-type breakdown with cell suppression for low-volume issues. The design encourages looking at one's own pattern, not the overall score.</w:t>
      </w:r>
    </w:p>
    <w:p>
      <w:pPr>
        <w:spacing w:after="160"/>
      </w:pPr>
      <w:r>
        <w:t xml:space="preserve">A two-column secondary-metric section for guideline-deviation rate and open-cases-past-target count.</w:t>
      </w:r>
    </w:p>
    <w:p>
      <w:pPr>
        <w:pStyle w:val="Heading3"/>
      </w:pPr>
      <w:r>
        <w:t xml:space="preserve">Bottom Strip</w:t>
      </w:r>
    </w:p>
    <w:p>
      <w:pPr>
        <w:spacing w:after="160"/>
      </w:pPr>
      <w:r>
        <w:t xml:space="preserve">A single-line reminder that the dashboard is private, with a link to confounders documentation. The footer reinforces the Tier B protections every session.</w:t>
      </w:r>
    </w:p>
    <w:p>
      <w:pPr>
        <w:spacing w:after="40" w:before="240"/>
      </w:pPr>
      <w:r>
        <w:rPr>
          <w:b/>
          <w:bCs/>
          <w:color w:val="B8371F"/>
          <w:spacing w:val="40"/>
          <w:sz w:val="18"/>
          <w:szCs w:val="18"/>
        </w:rPr>
        <w:t xml:space="preserve">§5</w:t>
      </w:r>
    </w:p>
    <w:p>
      <w:pPr>
        <w:pStyle w:val="Heading1"/>
      </w:pPr>
      <w:r>
        <w:t xml:space="preserve">Interaction Design</w:t>
      </w:r>
    </w:p>
    <w:p>
      <w:pPr>
        <w:pStyle w:val="Heading3"/>
      </w:pPr>
      <w:r>
        <w:t xml:space="preserve">Entry Points</w:t>
      </w:r>
    </w:p>
    <w:p>
      <w:pPr>
        <w:pStyle w:val="ListParagraph"/>
        <w:numPr>
          <w:ilvl w:val="0"/>
          <w:numId w:val="2"/>
        </w:numPr>
        <w:spacing w:after="80"/>
      </w:pPr>
      <w:r>
        <w:t xml:space="preserve">Primary: direct link from an authenticated email summary sent within 10 business days of quarter-end.</w:t>
      </w:r>
    </w:p>
    <w:p>
      <w:pPr>
        <w:pStyle w:val="ListParagraph"/>
        <w:numPr>
          <w:ilvl w:val="0"/>
          <w:numId w:val="2"/>
        </w:numPr>
        <w:spacing w:after="80"/>
      </w:pPr>
      <w:r>
        <w:t xml:space="preserve">Secondary: self-service login via the Catalog's judicial-portal entry; judges log in with their OSCA-issued credentials.</w:t>
      </w:r>
    </w:p>
    <w:p>
      <w:pPr>
        <w:pStyle w:val="ListParagraph"/>
        <w:numPr>
          <w:ilvl w:val="0"/>
          <w:numId w:val="2"/>
        </w:numPr>
        <w:spacing w:after="80"/>
      </w:pPr>
      <w:r>
        <w:t xml:space="preserve">No bookmark-friendly public URLs. All dashboard URLs expire after 30 days.</w:t>
      </w:r>
    </w:p>
    <w:p>
      <w:pPr>
        <w:pStyle w:val="Heading3"/>
      </w:pPr>
      <w:r>
        <w:t xml:space="preserve">Tier B Authentication</w:t>
      </w:r>
    </w:p>
    <w:p>
      <w:pPr>
        <w:spacing w:after="160"/>
      </w:pPr>
      <w:r>
        <w:t xml:space="preserve">Access to any judicial dashboard requires authenticated session via the judicial portal. Short-lived STS credentials per session. No API-key access. Every session is audit-logged with a quarterly review by the Data Ethics Committee.</w:t>
      </w:r>
    </w:p>
    <w:p>
      <w:pPr>
        <w:pStyle w:val="Heading3"/>
      </w:pPr>
      <w:r>
        <w:t xml:space="preserve">Print and Export</w:t>
      </w:r>
    </w:p>
    <w:p>
      <w:pPr>
        <w:spacing w:after="160"/>
      </w:pPr>
      <w:r>
        <w:t xml:space="preserve">The dashboard generates a one-page PDF suitable for printing and filing in a personal-use binder. The PDF carries "Tier B Private · Not for External Distribution" in the footer and a watermark on the diagonal. Exporting is tracked for audit purposes but not restricted.</w:t>
      </w:r>
    </w:p>
    <w:p>
      <w:pPr>
        <w:pStyle w:val="Heading3"/>
      </w:pPr>
      <w:r>
        <w:t xml:space="preserve">Sharing</w:t>
      </w:r>
    </w:p>
    <w:p>
      <w:pPr>
        <w:spacing w:after="160"/>
      </w:pPr>
      <w:r>
        <w:t xml:space="preserve">The dashboard has no share button. The presiding judge of the circuit has view-only access to all family-assigned judges in their circuit but cannot export or forward. Data leaves the dashboard only via the judge's own printed export.</w:t>
      </w:r>
    </w:p>
    <w:p>
      <w:pPr>
        <w:pStyle w:val="Heading3"/>
      </w:pPr>
      <w:r>
        <w:t xml:space="preserve">Feedback Loop</w:t>
      </w:r>
    </w:p>
    <w:p>
      <w:pPr>
        <w:spacing w:after="160"/>
      </w:pPr>
      <w:r>
        <w:t xml:space="preserve">Every metric includes a lightweight "Was this useful?" thumbs-up/thumbs-down widget. Feedback is aggregated quarterly and reviewed by the Methodology Board. Judges who consistently mark specific metrics "not useful" have their dashboard rebalanced to deprioritize those cards; metrics themselves are not changed based on individual feedback.</w:t>
      </w:r>
    </w:p>
    <w:p>
      <w:r>
        <w:br w:type="page"/>
      </w:r>
    </w:p>
    <w:p>
      <w:pPr>
        <w:spacing w:after="40" w:before="240"/>
      </w:pPr>
      <w:r>
        <w:rPr>
          <w:b/>
          <w:bCs/>
          <w:color w:val="B8371F"/>
          <w:spacing w:val="40"/>
          <w:sz w:val="18"/>
          <w:szCs w:val="18"/>
        </w:rPr>
        <w:t xml:space="preserve">§6</w:t>
      </w:r>
    </w:p>
    <w:p>
      <w:pPr>
        <w:pStyle w:val="Heading1"/>
      </w:pPr>
      <w:r>
        <w:t xml:space="preserve">Accessibility</w:t>
      </w:r>
    </w:p>
    <w:p>
      <w:pPr>
        <w:pStyle w:val="ListParagraph"/>
        <w:numPr>
          <w:ilvl w:val="0"/>
          <w:numId w:val="2"/>
        </w:numPr>
        <w:spacing w:after="80"/>
      </w:pPr>
      <w:r>
        <w:t xml:space="preserve">WCAG AA contrast throughout. Cards, charts, and notifications pass 4.5:1 for normal text and 3:1 for large text.</w:t>
      </w:r>
    </w:p>
    <w:p>
      <w:pPr>
        <w:pStyle w:val="ListParagraph"/>
        <w:numPr>
          <w:ilvl w:val="0"/>
          <w:numId w:val="2"/>
        </w:numPr>
        <w:spacing w:after="80"/>
      </w:pPr>
      <w:r>
        <w:t xml:space="preserve">Every chart has an accompanying text description available via screen reader.</w:t>
      </w:r>
    </w:p>
    <w:p>
      <w:pPr>
        <w:pStyle w:val="ListParagraph"/>
        <w:numPr>
          <w:ilvl w:val="0"/>
          <w:numId w:val="2"/>
        </w:numPr>
        <w:spacing w:after="80"/>
      </w:pPr>
      <w:r>
        <w:t xml:space="preserve">Keyboard navigation: tab order matches visual reading order; Escape closes modals; Enter activates links.</w:t>
      </w:r>
    </w:p>
    <w:p>
      <w:pPr>
        <w:pStyle w:val="ListParagraph"/>
        <w:numPr>
          <w:ilvl w:val="0"/>
          <w:numId w:val="2"/>
        </w:numPr>
        <w:spacing w:after="80"/>
      </w:pPr>
      <w:r>
        <w:t xml:space="preserve">Respects prefers-reduced-motion; all transitions degrade to instant changes.</w:t>
      </w:r>
    </w:p>
    <w:p>
      <w:pPr>
        <w:pStyle w:val="ListParagraph"/>
        <w:numPr>
          <w:ilvl w:val="0"/>
          <w:numId w:val="2"/>
        </w:numPr>
        <w:spacing w:after="80"/>
      </w:pPr>
      <w:r>
        <w:t xml:space="preserve">Color is never the only signal. Red/amber/green cues are always paired with a word or icon.</w:t>
      </w:r>
    </w:p>
    <w:p>
      <w:pPr>
        <w:pStyle w:val="ListParagraph"/>
        <w:numPr>
          <w:ilvl w:val="0"/>
          <w:numId w:val="2"/>
        </w:numPr>
        <w:spacing w:after="80"/>
      </w:pPr>
      <w:r>
        <w:t xml:space="preserve">Font sizing: 12px minimum for secondary text, 16px+ for body, no pixel-based font scaling prevented at browser level.</w:t>
      </w:r>
    </w:p>
    <w:p>
      <w:pPr>
        <w:spacing w:after="40" w:before="240"/>
      </w:pPr>
      <w:r>
        <w:rPr>
          <w:b/>
          <w:bCs/>
          <w:color w:val="B8371F"/>
          <w:spacing w:val="40"/>
          <w:sz w:val="18"/>
          <w:szCs w:val="18"/>
        </w:rPr>
        <w:t xml:space="preserve">§7</w:t>
      </w:r>
    </w:p>
    <w:p>
      <w:pPr>
        <w:pStyle w:val="Heading1"/>
      </w:pPr>
      <w:r>
        <w:t xml:space="preserve">Safeguards Against Misuse</w:t>
      </w:r>
    </w:p>
    <w:p>
      <w:pPr>
        <w:spacing w:after="160"/>
      </w:pPr>
      <w:r>
        <w:t xml:space="preserve">A private dashboard is only as trustworthy as the barriers preventing its misuse. The following safeguards are architectural, not policy-based.</w:t>
      </w:r>
    </w:p>
    <w:p>
      <w:pPr>
        <w:pStyle w:val="ListParagraph"/>
        <w:numPr>
          <w:ilvl w:val="0"/>
          <w:numId w:val="2"/>
        </w:numPr>
        <w:spacing w:after="80"/>
      </w:pPr>
      <w:r>
        <w:t xml:space="preserve">DATA ARCHITECTURE: Individual-judge partitions are stored with IAM policies that explicitly deny cross-judge aggregation queries. Attempted aggregation returns zero results, logged as a potential misuse event.</w:t>
      </w:r>
    </w:p>
    <w:p>
      <w:pPr>
        <w:pStyle w:val="ListParagraph"/>
        <w:numPr>
          <w:ilvl w:val="0"/>
          <w:numId w:val="2"/>
        </w:numPr>
        <w:spacing w:after="80"/>
      </w:pPr>
      <w:r>
        <w:t xml:space="preserve">EXPORT WATERMARKING: All PDF exports include a per-session identifier steganographically embedded in the rendering. A leaked PDF can be traced to the session that generated it; this is disclosed to judges upon first login.</w:t>
      </w:r>
    </w:p>
    <w:p>
      <w:pPr>
        <w:pStyle w:val="ListParagraph"/>
        <w:numPr>
          <w:ilvl w:val="0"/>
          <w:numId w:val="2"/>
        </w:numPr>
        <w:spacing w:after="80"/>
      </w:pPr>
      <w:r>
        <w:t xml:space="preserve">RETENTION LIMITS: Dashboard data snapshots are retained for 36 months and then permanently deleted. No historical dataset spanning a judge's entire career can be assembled.</w:t>
      </w:r>
    </w:p>
    <w:p>
      <w:pPr>
        <w:pStyle w:val="ListParagraph"/>
        <w:numPr>
          <w:ilvl w:val="0"/>
          <w:numId w:val="2"/>
        </w:numPr>
        <w:spacing w:after="80"/>
      </w:pPr>
      <w:r>
        <w:t xml:space="preserve">NO BULK EXPORT: No feature exists to export all judges' dashboards at once. The only export path is per-judge via their own authenticated session.</w:t>
      </w:r>
    </w:p>
    <w:p>
      <w:pPr>
        <w:pStyle w:val="ListParagraph"/>
        <w:numPr>
          <w:ilvl w:val="0"/>
          <w:numId w:val="2"/>
        </w:numPr>
        <w:spacing w:after="80"/>
      </w:pPr>
      <w:r>
        <w:t xml:space="preserve">QUARTERLY AUDIT: Every quarter, the Data Ethics Review samples five randomly-selected judicial sessions and verifies that no anomalous query patterns occurred.</w:t>
      </w:r>
    </w:p>
    <w:p>
      <w:pPr>
        <w:spacing w:after="40" w:before="240"/>
      </w:pPr>
      <w:r>
        <w:rPr>
          <w:b/>
          <w:bCs/>
          <w:color w:val="B8371F"/>
          <w:spacing w:val="40"/>
          <w:sz w:val="18"/>
          <w:szCs w:val="18"/>
        </w:rPr>
        <w:t xml:space="preserve">§8</w:t>
      </w:r>
    </w:p>
    <w:p>
      <w:pPr>
        <w:pStyle w:val="Heading1"/>
      </w:pPr>
      <w:r>
        <w:t xml:space="preserve">Rollout</w:t>
      </w:r>
    </w:p>
    <w:p>
      <w:pPr>
        <w:pStyle w:val="Heading3"/>
      </w:pPr>
      <w:r>
        <w:t xml:space="preserve">Phase 1 · Invited Judges (Months 4-6 of pilot)</w:t>
      </w:r>
    </w:p>
    <w:p>
      <w:pPr>
        <w:spacing w:after="160"/>
      </w:pPr>
      <w:r>
        <w:t xml:space="preserve">Three volunteer judges from each pilot circuit receive early access. Bi-weekly feedback sessions shape the Q1 release. No dashboard data is considered "live" until feedback incorporation is complete.</w:t>
      </w:r>
    </w:p>
    <w:p>
      <w:pPr>
        <w:pStyle w:val="Heading3"/>
      </w:pPr>
      <w:r>
        <w:t xml:space="preserve">Phase 2 · Pilot Circuits (Months 7-12)</w:t>
      </w:r>
    </w:p>
    <w:p>
      <w:pPr>
        <w:spacing w:after="160"/>
      </w:pPr>
      <w:r>
        <w:t xml:space="preserve">All family-assigned judges in the three pilot circuits are offered access. Participation is voluntary. Presiding judges receive circuit-wide view-only access.</w:t>
      </w:r>
    </w:p>
    <w:p>
      <w:pPr>
        <w:pStyle w:val="Heading3"/>
      </w:pPr>
      <w:r>
        <w:t xml:space="preserve">Phase 3 · Statewide (Month 18+)</w:t>
      </w:r>
    </w:p>
    <w:p>
      <w:pPr>
        <w:spacing w:after="160"/>
      </w:pPr>
      <w:r>
        <w:t xml:space="preserve">Following a positive Phase 2 review, dashboards are available to any Missouri family court judge who requests access through the judicial portal. Judicial Institute orientation incorporates the dashboard as a standard tool for new family court judges.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SPEC-02 · JUDICIAL DASHBOARD 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2026-04-20T23:25:17.206Z</dcterms:created>
  <dcterms:modified xsi:type="dcterms:W3CDTF">2026-04-20T23:25:17.206Z</dcterms:modified>
</cp:coreProperties>
</file>

<file path=docProps/custom.xml><?xml version="1.0" encoding="utf-8"?>
<Properties xmlns="http://schemas.openxmlformats.org/officeDocument/2006/custom-properties" xmlns:vt="http://schemas.openxmlformats.org/officeDocument/2006/docPropsVTypes"/>
</file>