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01</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Framework</w:t>
      </w:r>
    </w:p>
    <w:p>
      <w:pPr>
        <w:spacing w:after="240"/>
      </w:pPr>
      <w:r>
        <w:rPr>
          <w:b/>
          <w:bCs/>
          <w:color w:val="0D1220"/>
          <w:sz w:val="52"/>
          <w:szCs w:val="52"/>
        </w:rPr>
        <w:t xml:space="preserve">Overview</w:t>
      </w:r>
    </w:p>
    <w:p>
      <w:pPr>
        <w:spacing w:after="400"/>
      </w:pPr>
      <w:r>
        <w:rPr>
          <w:color w:val="1F2744"/>
          <w:sz w:val="26"/>
          <w:szCs w:val="26"/>
        </w:rPr>
        <w:t xml:space="preserve">An 8-page briefing on the Family Court Metric Catalog — the problem it addresses, how it is structured, and how it is governed.</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General Audience · Stakeholder Briefing</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 01</w:t>
      </w:r>
    </w:p>
    <w:p>
      <w:pPr>
        <w:pStyle w:val="Heading1"/>
      </w:pPr>
      <w:r>
        <w:t xml:space="preserve">Why a Metric Catalog</w:t>
      </w:r>
    </w:p>
    <w:p>
      <w:pPr>
        <w:spacing w:after="160"/>
      </w:pPr>
      <w:r>
        <w:t xml:space="preserve">Family courts make decisions that shape children's lives. They do so in a system whose performance is largely invisible even to the people operating it. The Family Court Metric Catalog addresses three distinct visibility failures:</w:t>
      </w:r>
    </w:p>
    <w:p>
      <w:pPr>
        <w:pStyle w:val="ListParagraph"/>
        <w:numPr>
          <w:ilvl w:val="0"/>
          <w:numId w:val="2"/>
        </w:numPr>
        <w:spacing w:after="80"/>
      </w:pPr>
      <w:r>
        <w:t xml:space="preserve">EFFICIENCY THEATER — The metrics courts already publish (filings, clearance rates, time-to-disposition) measure throughput. They tell you the machine is running. They tell you nothing about whether it works.</w:t>
      </w:r>
    </w:p>
    <w:p>
      <w:pPr>
        <w:pStyle w:val="ListParagraph"/>
        <w:numPr>
          <w:ilvl w:val="0"/>
          <w:numId w:val="2"/>
        </w:numPr>
        <w:spacing w:after="80"/>
      </w:pPr>
      <w:r>
        <w:t xml:space="preserve">ACCOUNTABILITY RISK — The metrics that matter (enforcement outcomes, motion grant rates, decision consistency) exist in fragmented form and are institutionally withheld. These are the metrics most likely to reshape outcomes and most aggressively protected.</w:t>
      </w:r>
    </w:p>
    <w:p>
      <w:pPr>
        <w:pStyle w:val="ListParagraph"/>
        <w:numPr>
          <w:ilvl w:val="0"/>
          <w:numId w:val="2"/>
        </w:numPr>
        <w:spacing w:after="80"/>
      </w:pPr>
      <w:r>
        <w:t xml:space="preserve">THE TRUTH LAYER — The metrics that describe lived reality (actual parenting time exercised, child contact gaps, conflict intensity, system-induced harm) are not measured anywhere. They require new infrastructure — often user-generated — to measure.</w:t>
      </w:r>
    </w:p>
    <w:p>
      <w:pPr>
        <w:spacing w:after="40" w:before="240"/>
      </w:pPr>
      <w:r>
        <w:rPr>
          <w:b/>
          <w:bCs/>
          <w:color w:val="B8371F"/>
          <w:spacing w:val="40"/>
          <w:sz w:val="18"/>
          <w:szCs w:val="18"/>
        </w:rPr>
        <w:t xml:space="preserve">§ 02</w:t>
      </w:r>
    </w:p>
    <w:p>
      <w:pPr>
        <w:pStyle w:val="Heading1"/>
      </w:pPr>
      <w:r>
        <w:t xml:space="preserve">The Three Visibility Layers</w:t>
      </w:r>
    </w:p>
    <w:p>
      <w:pPr>
        <w:pStyle w:val="Heading2"/>
      </w:pPr>
      <w:r>
        <w:t xml:space="preserve">Visible (24 metrics)</w:t>
      </w:r>
    </w:p>
    <w:p>
      <w:pPr>
        <w:spacing w:after="160"/>
      </w:pPr>
      <w:r>
        <w:t xml:space="preserve">Publishable today. Aggregate, de-identified, low re-identification risk. Examples: case filings by type, clearance rate, median time-to-disposition, mediation referral counts. Most are already partially reported by Missouri OSCA.</w:t>
      </w:r>
    </w:p>
    <w:p>
      <w:pPr>
        <w:pStyle w:val="Heading2"/>
      </w:pPr>
      <w:r>
        <w:t xml:space="preserve">Hidden (23 metrics)</w:t>
      </w:r>
    </w:p>
    <w:p>
      <w:pPr>
        <w:spacing w:after="160"/>
      </w:pPr>
      <w:r>
        <w:t xml:space="preserve">Data exists but is fragmented, restricted, or institutionally withheld. Defensible to expose with proper governance. Examples: motion grant rates by type, GAL recommendation alignment, protective order grant rates, appeal reversal rates. These require standardization and a governance framework to publish.</w:t>
      </w:r>
    </w:p>
    <w:p>
      <w:pPr>
        <w:pStyle w:val="Heading2"/>
      </w:pPr>
      <w:r>
        <w:t xml:space="preserve">Missing (25 metrics)</w:t>
      </w:r>
    </w:p>
    <w:p>
      <w:pPr>
        <w:spacing w:after="160"/>
      </w:pPr>
      <w:r>
        <w:t xml:space="preserve">Not tracked by any system. Requires new infrastructure, usually user-generated, to measure. Examples: parenting time compliance rate, child contact gap, conflict intensity trajectory, repair attempt rate. This is where user-generated data platforms like CoTrackPro become the only viable source.</w:t>
      </w:r>
    </w:p>
    <w:p>
      <w:pPr>
        <w:spacing w:after="40" w:before="240"/>
      </w:pPr>
      <w:r>
        <w:rPr>
          <w:b/>
          <w:bCs/>
          <w:color w:val="B8371F"/>
          <w:spacing w:val="40"/>
          <w:sz w:val="18"/>
          <w:szCs w:val="18"/>
        </w:rPr>
        <w:t xml:space="preserve">§ 03</w:t>
      </w:r>
    </w:p>
    <w:p>
      <w:pPr>
        <w:pStyle w:val="Heading1"/>
      </w:pPr>
      <w:r>
        <w:t xml:space="preserve">The Four Disclosure Tiers</w:t>
      </w:r>
    </w:p>
    <w:p>
      <w:pPr>
        <w:spacing w:after="160"/>
      </w:pPr>
      <w:r>
        <w:t xml:space="preserve">Every metric carries a disclosure tier that governs who can access it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NAME</w:t>
            </w:r>
          </w:p>
        </w:tc>
        <w:tc>
          <w:tcPr>
            <w:tcW w:type="dxa" w:w="6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WHAT IT MEANS</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Public</w:t>
            </w:r>
          </w:p>
        </w:tc>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Aggregate, de-identified, publishable to general audience. k-anonymity ≥ 10.</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Oversight · DUA</w:t>
            </w:r>
          </w:p>
        </w:tc>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De-identified but gated. Research, regulators, judicial self-assessment. IRB approval required.</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User-Owned</w:t>
            </w:r>
          </w:p>
        </w:tc>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Raw data stays with the user. Only aggregates leave, only after opt-in.</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Never Disclosed</w:t>
            </w:r>
          </w:p>
        </w:tc>
        <w:tc>
          <w:tcPr>
            <w:tcW w:type="dxa" w:w="6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Protected by statute or irreversible harm potential. Never published at any granularity.</w:t>
            </w:r>
          </w:p>
        </w:tc>
      </w:tr>
    </w:tbl>
    <w:p>
      <w:r>
        <w:br w:type="page"/>
      </w:r>
    </w:p>
    <w:p>
      <w:pPr>
        <w:spacing w:after="40" w:before="240"/>
      </w:pPr>
      <w:r>
        <w:rPr>
          <w:b/>
          <w:bCs/>
          <w:color w:val="B8371F"/>
          <w:spacing w:val="40"/>
          <w:sz w:val="18"/>
          <w:szCs w:val="18"/>
        </w:rPr>
        <w:t xml:space="preserve">§ 04</w:t>
      </w:r>
    </w:p>
    <w:p>
      <w:pPr>
        <w:pStyle w:val="Heading1"/>
      </w:pPr>
      <w:r>
        <w:t xml:space="preserve">Fourteen Roles, One Catalog</w:t>
      </w:r>
    </w:p>
    <w:p>
      <w:pPr>
        <w:spacing w:after="160"/>
      </w:pPr>
      <w:r>
        <w:t xml:space="preserve">The catalog organizes 72 metrics by the stakeholder who most needs each one. Every stakeholder sees a different slice; the catalog makes those slices navigable without requiring technical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ROLE</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METRICS</w:t>
            </w:r>
          </w:p>
        </w:tc>
        <w:tc>
          <w:tcPr>
            <w:tcW w:type="dxa" w:w="51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PRIMARY INTEREST</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Parent (Pro Se)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7</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Realistic expectations and benchmarks</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Family Law Attorney</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Peer benchmarks and motion intelligence</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Judge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Private self-calibration and consistency</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Court Administrator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Operational health and backlog</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GAL / Custody Evaluator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Professional accountability and rotation</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Legislator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System-level harm and cost indicators</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Academic Researcher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DUA-gated longitudinal data</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Journalist</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Aggregate trends and Sunshine Law compliance</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Advocate (DV · Fathers · Children)</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0</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Bilateral neutrality and representation access</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Child (Age-Appropriate)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Stability, continuity, and wellbeing proxies</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Mental Health Professional</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Conflict trajectory and safety signals</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Law Enforcement</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Real-time order verification</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Mediator</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Outcome durability and efficacy</w:t>
            </w:r>
          </w:p>
        </w:tc>
      </w:tr>
      <w:tr>
        <w:tc>
          <w:tcPr>
            <w:tcW w:type="dxa" w:w="3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Employer / EAP</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w:t>
            </w:r>
          </w:p>
        </w:tc>
        <w:tc>
          <w:tcPr>
            <w:tcW w:type="dxa" w:w="51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Workforce wellness signals</w:t>
            </w:r>
          </w:p>
        </w:tc>
      </w:tr>
    </w:tbl>
    <w:p>
      <w:r>
        <w:br w:type="page"/>
      </w:r>
    </w:p>
    <w:p>
      <w:pPr>
        <w:spacing w:after="40" w:before="240"/>
      </w:pPr>
      <w:r>
        <w:rPr>
          <w:b/>
          <w:bCs/>
          <w:color w:val="B8371F"/>
          <w:spacing w:val="40"/>
          <w:sz w:val="18"/>
          <w:szCs w:val="18"/>
        </w:rPr>
        <w:t xml:space="preserve">§ 05</w:t>
      </w:r>
    </w:p>
    <w:p>
      <w:pPr>
        <w:pStyle w:val="Heading1"/>
      </w:pPr>
      <w:r>
        <w:t xml:space="preserve">Governance</w:t>
      </w:r>
    </w:p>
    <w:p>
      <w:pPr>
        <w:spacing w:after="160"/>
      </w:pPr>
      <w:r>
        <w:t xml:space="preserve">A transparency platform without governance is an attack surface. The Catalog is governed by an eleven-seat Methodology Board with enforced stakeholder balance (see Document 07). No single jurisdiction, firm, or advocacy organization may hold more than 20% of board seats. Funders are publicly disclosed and capped at the same threshold. Metric changes require a two-thirds supermajority after a 60-day public comment period.</w:t>
      </w:r>
    </w:p>
    <w:p>
      <w:pPr>
        <w:spacing w:after="160"/>
      </w:pPr>
      <w:r>
        <w:t xml:space="preserve">Every methodology change is logged, versioned, and publicly auditable. Every published metric includes confidence intervals, sample sizes, known confounders, and a link to its operational definition. Every aggregate passes through a four-gate de-identification pipeline before release (see Document 12).</w:t>
      </w:r>
    </w:p>
    <w:p>
      <w:pPr>
        <w:spacing w:after="40" w:before="240"/>
      </w:pPr>
      <w:r>
        <w:rPr>
          <w:b/>
          <w:bCs/>
          <w:color w:val="B8371F"/>
          <w:spacing w:val="40"/>
          <w:sz w:val="18"/>
          <w:szCs w:val="18"/>
        </w:rPr>
        <w:t xml:space="preserve">§ 06</w:t>
      </w:r>
    </w:p>
    <w:p>
      <w:pPr>
        <w:pStyle w:val="Heading1"/>
      </w:pPr>
      <w:r>
        <w:t xml:space="preserve">Missouri as the Pilot</w:t>
      </w:r>
    </w:p>
    <w:p>
      <w:pPr>
        <w:spacing w:after="160"/>
      </w:pPr>
      <w:r>
        <w:t xml:space="preserve">Missouri is uniquely positioned to be the reference implementation of this framework. A centralized Office of State Courts Administrator provides a single data counterparty. Three diverse pilot counties — St. Louis, Greene, and Boone — cover urban, mid-size regional, and university-town profiles within a half-day's drive of each other. Three law schools — Mizzou, Wash U, and SLU — provide research capacity. The Missouri Bar Family Law Section provides practitioner input. The Missouri Coalition Against Domestic and Sexual Violence provides survivor-safety oversight.</w:t>
      </w:r>
    </w:p>
    <w:p>
      <w:pPr>
        <w:spacing w:after="160"/>
      </w:pPr>
      <w:r>
        <w:t xml:space="preserve">A 36-month pilot costs $1,454,510 in total and operates under a blended funding stack that caps any single funder at 20%. See Document 04 for pilot county rationale and Document 13 for the full budget.</w:t>
      </w:r>
    </w:p>
    <w:p>
      <w:pPr>
        <w:spacing w:after="40" w:before="240"/>
      </w:pPr>
      <w:r>
        <w:rPr>
          <w:b/>
          <w:bCs/>
          <w:color w:val="B8371F"/>
          <w:spacing w:val="40"/>
          <w:sz w:val="18"/>
          <w:szCs w:val="18"/>
        </w:rPr>
        <w:t xml:space="preserve">§ 07</w:t>
      </w:r>
    </w:p>
    <w:p>
      <w:pPr>
        <w:pStyle w:val="Heading1"/>
      </w:pPr>
      <w:r>
        <w:t xml:space="preserve">What Success Looks Like</w:t>
      </w:r>
    </w:p>
    <w:p>
      <w:pPr>
        <w:spacing w:after="160"/>
      </w:pPr>
      <w:r>
        <w:t xml:space="preserve">At month 36, the pilot has succeeded if all of the following are true:</w:t>
      </w:r>
    </w:p>
    <w:p>
      <w:pPr>
        <w:pStyle w:val="ListParagraph"/>
        <w:numPr>
          <w:ilvl w:val="0"/>
          <w:numId w:val="2"/>
        </w:numPr>
        <w:spacing w:after="80"/>
      </w:pPr>
      <w:r>
        <w:t xml:space="preserve">Three pilot circuits are actively participating and publishing quarterly Tier A dashboards.</w:t>
      </w:r>
    </w:p>
    <w:p>
      <w:pPr>
        <w:pStyle w:val="ListParagraph"/>
        <w:numPr>
          <w:ilvl w:val="0"/>
          <w:numId w:val="2"/>
        </w:numPr>
        <w:spacing w:after="80"/>
      </w:pPr>
      <w:r>
        <w:t xml:space="preserve">At least one Tier C metric (parenting time compliance) is publishing at county aggregate with 500+ opted-in participants across the three circuits.</w:t>
      </w:r>
    </w:p>
    <w:p>
      <w:pPr>
        <w:pStyle w:val="ListParagraph"/>
        <w:numPr>
          <w:ilvl w:val="0"/>
          <w:numId w:val="2"/>
        </w:numPr>
        <w:spacing w:after="80"/>
      </w:pPr>
      <w:r>
        <w:t xml:space="preserve">Three or more peer-reviewed publications have emerged from academic partnerships.</w:t>
      </w:r>
    </w:p>
    <w:p>
      <w:pPr>
        <w:pStyle w:val="ListParagraph"/>
        <w:numPr>
          <w:ilvl w:val="0"/>
          <w:numId w:val="2"/>
        </w:numPr>
        <w:spacing w:after="80"/>
      </w:pPr>
      <w:r>
        <w:t xml:space="preserve">The Missouri Coalition Against Domestic and Sexual Violence has maintained its endorsement throughout the pilot.</w:t>
      </w:r>
    </w:p>
    <w:p>
      <w:pPr>
        <w:pStyle w:val="ListParagraph"/>
        <w:numPr>
          <w:ilvl w:val="0"/>
          <w:numId w:val="2"/>
        </w:numPr>
        <w:spacing w:after="80"/>
      </w:pPr>
      <w:r>
        <w:t xml:space="preserve">No re-identification incidents have occurred.</w:t>
      </w:r>
    </w:p>
    <w:p>
      <w:pPr>
        <w:pStyle w:val="ListParagraph"/>
        <w:numPr>
          <w:ilvl w:val="0"/>
          <w:numId w:val="2"/>
        </w:numPr>
        <w:spacing w:after="80"/>
      </w:pPr>
      <w:r>
        <w:t xml:space="preserve">A methodology board is operating with all seats filled, and at least two full methodology adoption cycles have completed.</w:t>
      </w:r>
    </w:p>
    <w:p>
      <w:pPr>
        <w:pStyle w:val="ListParagraph"/>
        <w:numPr>
          <w:ilvl w:val="0"/>
          <w:numId w:val="2"/>
        </w:numPr>
        <w:spacing w:after="80"/>
      </w:pPr>
      <w:r>
        <w:t xml:space="preserve">At least one neighboring state has signaled intent to adopt the schema.</w:t>
      </w:r>
    </w:p>
    <w:p>
      <w:pPr>
        <w:spacing w:after="160"/>
      </w:pPr>
      <w:r>
        <w:t xml:space="preserve">See Document 16 for the full evaluation framework, including minimum-viable, target, and stretch tiers.</w:t>
      </w:r>
    </w:p>
    <w:p>
      <w:pPr>
        <w:spacing w:after="40" w:before="240"/>
      </w:pPr>
      <w:r>
        <w:rPr>
          <w:b/>
          <w:bCs/>
          <w:color w:val="B8371F"/>
          <w:spacing w:val="40"/>
          <w:sz w:val="18"/>
          <w:szCs w:val="18"/>
        </w:rPr>
        <w:t xml:space="preserve">§ 08</w:t>
      </w:r>
    </w:p>
    <w:p>
      <w:pPr>
        <w:pStyle w:val="Heading1"/>
      </w:pPr>
      <w:r>
        <w:t xml:space="preserve">What Comes After the Pilot</w:t>
      </w:r>
    </w:p>
    <w:p>
      <w:pPr>
        <w:spacing w:after="160"/>
      </w:pPr>
      <w:r>
        <w:t xml:space="preserve">If the pilot succeeds, the natural next steps are statewide rollout across all Missouri judicial circuits, schema adoption by peer states beginning with neighboring jurisdictions, and statutory authorization through targeted RSMo amendments (see Document 05). These steps should be taken only on the strength of pilot evidence, not in anticipation of it.</w:t>
      </w:r>
    </w:p>
    <w:p>
      <w:pPr>
        <w:spacing w:after="160"/>
      </w:pPr>
      <w:r>
        <w:t xml:space="preserve">If the pilot does not succeed, the framework and all its supporting materials remain publicly available for other jurisdictions and other operators to build upon. No part of this proposal depends on a single organization's continued involvement.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01 · FRAMEWORK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2026-04-20T23:18:42.375Z</dcterms:created>
  <dcterms:modified xsi:type="dcterms:W3CDTF">2026-04-20T23:18:42.375Z</dcterms:modified>
</cp:coreProperties>
</file>

<file path=docProps/custom.xml><?xml version="1.0" encoding="utf-8"?>
<Properties xmlns="http://schemas.openxmlformats.org/officeDocument/2006/custom-properties" xmlns:vt="http://schemas.openxmlformats.org/officeDocument/2006/docPropsVTypes"/>
</file>