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02</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Catalog</w:t>
      </w:r>
    </w:p>
    <w:p>
      <w:pPr>
        <w:spacing w:after="240"/>
      </w:pPr>
      <w:r>
        <w:rPr>
          <w:b/>
          <w:bCs/>
          <w:color w:val="0D1220"/>
          <w:sz w:val="52"/>
          <w:szCs w:val="52"/>
        </w:rPr>
        <w:t xml:space="preserve">at a Glance</w:t>
      </w:r>
    </w:p>
    <w:p>
      <w:pPr>
        <w:spacing w:after="400"/>
      </w:pPr>
      <w:r>
        <w:rPr>
          <w:color w:val="1F2744"/>
          <w:sz w:val="26"/>
          <w:szCs w:val="26"/>
        </w:rPr>
        <w:t xml:space="preserve">A summary table of all 72 metrics across 14 roles with their disclosure tiers and visibility status.</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All Stakeholders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READING GUIDE</w:t>
      </w:r>
    </w:p>
    <w:p>
      <w:pPr>
        <w:pStyle w:val="Heading1"/>
      </w:pPr>
      <w:r>
        <w:t xml:space="preserve">How to Use This Table</w:t>
      </w:r>
    </w:p>
    <w:p>
      <w:pPr>
        <w:spacing w:after="160"/>
      </w:pPr>
      <w:r>
        <w:t xml:space="preserve">Each row is one metric. Read left to right: which role most needs it, what it measures, what disclosure tier protects it, whether it is visible today. The table is grouped by role for navigability. The Methodology Handbook (Document 19) contains the full operational specification for every metric listed here.</w:t>
      </w:r>
    </w:p>
    <w:p>
      <w:pPr>
        <w:spacing w:after="160"/>
      </w:pPr>
      <w:r>
        <w:t xml:space="preserve">Visibility Key: VISIBLE = publishable today. HIDDEN = data exists but institutionally withheld. MISSING = not currently tracked anywhere.</w:t>
      </w:r>
    </w:p>
    <w:p>
      <w:pPr>
        <w:spacing w:after="160"/>
      </w:pPr>
      <w:r>
        <w:t xml:space="preserve">Tier Key: A = Public. B = Oversight · DUA. C = User-Owned. D = Never Disclosed.</w:t>
      </w:r>
    </w:p>
    <w:p>
      <w:r>
        <w:br w:type="page"/>
      </w:r>
    </w:p>
    <w:p>
      <w:pPr>
        <w:spacing w:after="40" w:before="240"/>
      </w:pPr>
      <w:r>
        <w:rPr>
          <w:b/>
          <w:bCs/>
          <w:color w:val="B8371F"/>
          <w:spacing w:val="40"/>
          <w:sz w:val="18"/>
          <w:szCs w:val="18"/>
        </w:rPr>
        <w:t xml:space="preserve">PARENT (PRO SE)</w:t>
      </w:r>
    </w:p>
    <w:p>
      <w:pPr>
        <w:pStyle w:val="Heading2"/>
      </w:pPr>
      <w:r>
        <w:t xml:space="preserve">Parent (Pro Se) (7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Typical Case Timeline (County)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Custody Outcome Distribution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Parenting Time Compliance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Child Contact Gap</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Motion Grant Rates (County)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Time-to-Enforcement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Represented vs Pro Se Outcomes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FAMILY LAW ATTORNEY</w:t>
      </w:r>
    </w:p>
    <w:p>
      <w:pPr>
        <w:pStyle w:val="Heading2"/>
      </w:pPr>
      <w:r>
        <w:t xml:space="preserve">Family Law Attorney (6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Peer Case Duration Benchmark</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Motion Success Rate by Type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Continuance Frequency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GAL Recommendation Alignment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Settlement vs Trial Distribution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Appeal Reversal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JUDGE</w:t>
      </w:r>
    </w:p>
    <w:p>
      <w:pPr>
        <w:pStyle w:val="Heading2"/>
      </w:pPr>
      <w:r>
        <w:t xml:space="preserve">Judge (6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Personal Docket Pace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Decision Consistency Score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Reversal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Guideline Deviation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Courtroom Time Allocation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Disposition Backlog</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bl>
    <w:p>
      <w:r>
        <w:br w:type="page"/>
      </w:r>
    </w:p>
    <w:p>
      <w:pPr>
        <w:spacing w:after="40" w:before="240"/>
      </w:pPr>
      <w:r>
        <w:rPr>
          <w:b/>
          <w:bCs/>
          <w:color w:val="B8371F"/>
          <w:spacing w:val="40"/>
          <w:sz w:val="18"/>
          <w:szCs w:val="18"/>
        </w:rPr>
        <w:t xml:space="preserve">COURT ADMINISTRATOR</w:t>
      </w:r>
    </w:p>
    <w:p>
      <w:pPr>
        <w:pStyle w:val="Heading2"/>
      </w:pPr>
      <w:r>
        <w:t xml:space="preserve">Court Administrator (6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Docket-Level Backlog</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Clearance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Mediation Diversion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Emergency Motion Load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Re-filing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Self-Represented Litigant Share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GAL / CUSTODY EVALUATOR</w:t>
      </w:r>
    </w:p>
    <w:p>
      <w:pPr>
        <w:pStyle w:val="Heading2"/>
      </w:pPr>
      <w:r>
        <w:t xml:space="preserve">GAL / Custody Evaluator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Caseload Distribution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Recommendation-to-Ruling Alignment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Time-to-Report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Child Contact Frequency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Repeat Appointment Index</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LEGISLATOR</w:t>
      </w:r>
    </w:p>
    <w:p>
      <w:pPr>
        <w:pStyle w:val="Heading2"/>
      </w:pPr>
      <w:r>
        <w:t xml:space="preserve">Legislator (6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Statewide Case Volume Trend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Litigation-Years-Per-Child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Financial Depletion Indicator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County-Level Disparity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DV Escalation Post-Filing</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Cost to Taxpayers Per Case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ACADEMIC RESEARCHER</w:t>
      </w:r>
    </w:p>
    <w:p>
      <w:pPr>
        <w:pStyle w:val="Heading2"/>
      </w:pPr>
      <w:r>
        <w:t xml:space="preserve">Academic Researcher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Longitudinal Case Data Set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Demographic Outcome Differentials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Parenting Plan Effectiveness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Intervention Efficacy Data</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Cross-State Comparative Dataset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bl>
    <w:p>
      <w:r>
        <w:br w:type="page"/>
      </w:r>
    </w:p>
    <w:p>
      <w:pPr>
        <w:spacing w:after="40" w:before="240"/>
      </w:pPr>
      <w:r>
        <w:rPr>
          <w:b/>
          <w:bCs/>
          <w:color w:val="B8371F"/>
          <w:spacing w:val="40"/>
          <w:sz w:val="18"/>
          <w:szCs w:val="18"/>
        </w:rPr>
        <w:t xml:space="preserve">JOURNALIST</w:t>
      </w:r>
    </w:p>
    <w:p>
      <w:pPr>
        <w:pStyle w:val="Heading2"/>
      </w:pPr>
      <w:r>
        <w:t xml:space="preserve">Journalist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County Performance Dashboard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Trend Anomaly Alerts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FOIA Response Time Tracker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Judicial Vacancy &amp; Load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Methodology Audit Log</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bl>
    <w:p>
      <w:r>
        <w:br w:type="page"/>
      </w:r>
    </w:p>
    <w:p>
      <w:pPr>
        <w:spacing w:after="40" w:before="240"/>
      </w:pPr>
      <w:r>
        <w:rPr>
          <w:b/>
          <w:bCs/>
          <w:color w:val="B8371F"/>
          <w:spacing w:val="40"/>
          <w:sz w:val="18"/>
          <w:szCs w:val="18"/>
        </w:rPr>
        <w:t xml:space="preserve">CHILD (AGE-APPROPRIATE)</w:t>
      </w:r>
    </w:p>
    <w:p>
      <w:pPr>
        <w:pStyle w:val="Heading2"/>
      </w:pPr>
      <w:r>
        <w:t xml:space="preserve">Child (Age-Appropriate)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Routine Stability Indicator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School Continuity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Activity Continuity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Sibling &amp; Extended Family Contact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Child Wellbeing Self-Report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bl>
    <w:p>
      <w:r>
        <w:br w:type="page"/>
      </w:r>
    </w:p>
    <w:p>
      <w:pPr>
        <w:spacing w:after="40" w:before="240"/>
      </w:pPr>
      <w:r>
        <w:rPr>
          <w:b/>
          <w:bCs/>
          <w:color w:val="B8371F"/>
          <w:spacing w:val="40"/>
          <w:sz w:val="18"/>
          <w:szCs w:val="18"/>
        </w:rPr>
        <w:t xml:space="preserve">MENTAL HEALTH PROFESSIONAL</w:t>
      </w:r>
    </w:p>
    <w:p>
      <w:pPr>
        <w:pStyle w:val="Heading2"/>
      </w:pPr>
      <w:r>
        <w:t xml:space="preserve">Mental Health Professional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 Intensity Trajectory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De-escalation Tool Usage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Repair Attempt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Critical Incident Flags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Service Utilization Trends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LAW ENFORCEMENT</w:t>
      </w:r>
    </w:p>
    <w:p>
      <w:pPr>
        <w:pStyle w:val="Heading2"/>
      </w:pPr>
      <w:r>
        <w:t xml:space="preserve">Law Enforcement (4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Active Order Status Check</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Violation Report Turnaround</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Custody Exchange Call Volume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Cross-Jurisdiction Order Verification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bl>
    <w:p>
      <w:r>
        <w:br w:type="page"/>
      </w:r>
    </w:p>
    <w:p>
      <w:pPr>
        <w:spacing w:after="40" w:before="240"/>
      </w:pPr>
      <w:r>
        <w:rPr>
          <w:b/>
          <w:bCs/>
          <w:color w:val="B8371F"/>
          <w:spacing w:val="40"/>
          <w:sz w:val="18"/>
          <w:szCs w:val="18"/>
        </w:rPr>
        <w:t xml:space="preserve">MEDIATOR</w:t>
      </w:r>
    </w:p>
    <w:p>
      <w:pPr>
        <w:pStyle w:val="Heading2"/>
      </w:pPr>
      <w:r>
        <w:t xml:space="preserve">Mediator (4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Settlement Rate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VISIBLE</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Durability of Agreements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Session Count to Resolution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Post-Mediation Conflict Intensity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bl>
    <w:p>
      <w:r>
        <w:br w:type="page"/>
      </w:r>
    </w:p>
    <w:p>
      <w:pPr>
        <w:spacing w:after="40" w:before="240"/>
      </w:pPr>
      <w:r>
        <w:rPr>
          <w:b/>
          <w:bCs/>
          <w:color w:val="B8371F"/>
          <w:spacing w:val="40"/>
          <w:sz w:val="18"/>
          <w:szCs w:val="18"/>
        </w:rPr>
        <w:t xml:space="preserve">EMPLOYER / EAP</w:t>
      </w:r>
    </w:p>
    <w:p>
      <w:pPr>
        <w:pStyle w:val="Heading2"/>
      </w:pPr>
      <w:r>
        <w:t xml:space="preserve">Employer / EAP (3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2000"/>
      </w:tblGrid>
      <w:tr>
        <w:trPr>
          <w:tblHeader/>
        </w:trPr>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STATUS</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Workforce Impact Estimate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EAP Family Law Referral Volume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HIDDEN</w:t>
            </w:r>
          </w:p>
        </w:tc>
      </w:tr>
      <w:tr>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Court-Related Leave Patterns</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MISSING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02 · CATALOG AT A GLANCE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2026-04-20T23:18:42.469Z</dcterms:created>
  <dcterms:modified xsi:type="dcterms:W3CDTF">2026-04-20T23:18:42.469Z</dcterms:modified>
</cp:coreProperties>
</file>

<file path=docProps/custom.xml><?xml version="1.0" encoding="utf-8"?>
<Properties xmlns="http://schemas.openxmlformats.org/officeDocument/2006/custom-properties" xmlns:vt="http://schemas.openxmlformats.org/officeDocument/2006/docPropsVTypes"/>
</file>