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06</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OSCA Data-Sharing</w:t>
      </w:r>
    </w:p>
    <w:p>
      <w:pPr>
        <w:spacing w:after="240"/>
      </w:pPr>
      <w:r>
        <w:rPr>
          <w:b/>
          <w:bCs/>
          <w:color w:val="0D1220"/>
          <w:sz w:val="52"/>
          <w:szCs w:val="52"/>
        </w:rPr>
        <w:t xml:space="preserve">Memorandum of Understanding</w:t>
      </w:r>
    </w:p>
    <w:p>
      <w:pPr>
        <w:spacing w:after="400"/>
      </w:pPr>
      <w:r>
        <w:rPr>
          <w:color w:val="1F2744"/>
          <w:sz w:val="26"/>
          <w:szCs w:val="26"/>
        </w:rPr>
        <w:t xml:space="preserve">DRAFT template MOU between OSCA and the Platform Partner for the three-circuit Missouri pilot.</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OSCA Office of General Counsel</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0D1220" w:sz="24" w:space="12"/>
        </w:pBdr>
        <w:spacing w:after="160" w:before="120"/>
        <w:ind w:left="360"/>
      </w:pPr>
      <w:r>
        <w:rPr>
          <w:i w:val="false"/>
          <w:iCs w:val="false"/>
          <w:sz w:val="22"/>
          <w:szCs w:val="22"/>
        </w:rPr>
        <w:t xml:space="preserve">This is a DRAFT template for discussion purposes only. Final execution requires review and revision by counsel for both parties.</w:t>
      </w:r>
    </w:p>
    <w:p>
      <w:pPr>
        <w:spacing w:after="40" w:before="240"/>
      </w:pPr>
      <w:r>
        <w:rPr>
          <w:b/>
          <w:bCs/>
          <w:color w:val="B8371F"/>
          <w:spacing w:val="40"/>
          <w:sz w:val="18"/>
          <w:szCs w:val="18"/>
        </w:rPr>
        <w:t xml:space="preserve">PARTIES &amp; PURPOSE</w:t>
      </w:r>
    </w:p>
    <w:p>
      <w:pPr>
        <w:pStyle w:val="Heading1"/>
      </w:pPr>
      <w:r>
        <w:t xml:space="preserve">Memorandum of Understanding</w:t>
      </w:r>
    </w:p>
    <w:p>
      <w:pPr>
        <w:spacing w:after="160"/>
      </w:pPr>
      <w:r>
        <w:t xml:space="preserve">This Memorandum of Understanding ("MOU") is entered into between the Missouri Office of State Courts Administrator ("OSCA") and [CoTrackPro LLC or designated 501(c)(3) fiscal agent] ("Platform Partner"), for the purpose of piloting the Family Court Metric Catalog in three Missouri judicial circuits.</w:t>
      </w:r>
    </w:p>
    <w:p>
      <w:pPr>
        <w:spacing w:after="40" w:before="240"/>
      </w:pPr>
      <w:r>
        <w:rPr>
          <w:b/>
          <w:bCs/>
          <w:color w:val="B8371F"/>
          <w:spacing w:val="40"/>
          <w:sz w:val="18"/>
          <w:szCs w:val="18"/>
        </w:rPr>
        <w:t xml:space="preserve">ARTICLE I</w:t>
      </w:r>
    </w:p>
    <w:p>
      <w:pPr>
        <w:pStyle w:val="Heading2"/>
      </w:pPr>
      <w:r>
        <w:t xml:space="preserve">Purpose and Scope</w:t>
      </w:r>
    </w:p>
    <w:p>
      <w:pPr>
        <w:spacing w:after="160"/>
      </w:pPr>
      <w:r>
        <w:t xml:space="preserve">This MOU establishes the terms under which OSCA will provide de-identified aggregate family court data to Platform Partner for publication in the public Metric Catalog, and under which Platform Partner will provide user-contributed compliance data back to OSCA for judicial administration research. Scope is limited to the 13th, 21st, and 31st Judicial Circuits for a 36-month pilot period beginning on the Effective Date.</w:t>
      </w:r>
    </w:p>
    <w:p>
      <w:pPr>
        <w:spacing w:after="40" w:before="240"/>
      </w:pPr>
      <w:r>
        <w:rPr>
          <w:b/>
          <w:bCs/>
          <w:color w:val="B8371F"/>
          <w:spacing w:val="40"/>
          <w:sz w:val="18"/>
          <w:szCs w:val="18"/>
        </w:rPr>
        <w:t xml:space="preserve">ARTICLE II</w:t>
      </w:r>
    </w:p>
    <w:p>
      <w:pPr>
        <w:pStyle w:val="Heading2"/>
      </w:pPr>
      <w:r>
        <w:t xml:space="preserve">Data Elements Provided by OSCA</w:t>
      </w:r>
    </w:p>
    <w:p>
      <w:pPr>
        <w:spacing w:after="160"/>
      </w:pPr>
      <w:r>
        <w:t xml:space="preserve">OSCA will provide the following aggregate data elements to Platform Partner on a quarterly basis:</w:t>
      </w:r>
    </w:p>
    <w:p>
      <w:pPr>
        <w:pStyle w:val="ListParagraph"/>
        <w:numPr>
          <w:ilvl w:val="0"/>
          <w:numId w:val="2"/>
        </w:numPr>
        <w:spacing w:after="80"/>
      </w:pPr>
      <w:r>
        <w:t xml:space="preserve">Quarterly aggregate case filings by case type, disaggregated by month and circuit.</w:t>
      </w:r>
    </w:p>
    <w:p>
      <w:pPr>
        <w:pStyle w:val="ListParagraph"/>
        <w:numPr>
          <w:ilvl w:val="0"/>
          <w:numId w:val="2"/>
        </w:numPr>
        <w:spacing w:after="80"/>
      </w:pPr>
      <w:r>
        <w:t xml:space="preserve">Median and P90 time-to-disposition by case type and circuit.</w:t>
      </w:r>
    </w:p>
    <w:p>
      <w:pPr>
        <w:pStyle w:val="ListParagraph"/>
        <w:numPr>
          <w:ilvl w:val="0"/>
          <w:numId w:val="2"/>
        </w:numPr>
        <w:spacing w:after="80"/>
      </w:pPr>
      <w:r>
        <w:t xml:space="preserve">Clearance rates, rolling quarterly.</w:t>
      </w:r>
    </w:p>
    <w:p>
      <w:pPr>
        <w:pStyle w:val="ListParagraph"/>
        <w:numPr>
          <w:ilvl w:val="0"/>
          <w:numId w:val="2"/>
        </w:numPr>
        <w:spacing w:after="80"/>
      </w:pPr>
      <w:r>
        <w:t xml:space="preserve">Mediation referral and completion counts.</w:t>
      </w:r>
    </w:p>
    <w:p>
      <w:pPr>
        <w:pStyle w:val="ListParagraph"/>
        <w:numPr>
          <w:ilvl w:val="0"/>
          <w:numId w:val="2"/>
        </w:numPr>
        <w:spacing w:after="80"/>
      </w:pPr>
      <w:r>
        <w:t xml:space="preserve">Pro se participation rates by case type.</w:t>
      </w:r>
    </w:p>
    <w:p>
      <w:pPr>
        <w:pStyle w:val="ListParagraph"/>
        <w:numPr>
          <w:ilvl w:val="0"/>
          <w:numId w:val="2"/>
        </w:numPr>
        <w:spacing w:after="80"/>
      </w:pPr>
      <w:r>
        <w:t xml:space="preserve">Continuance frequencies per case.</w:t>
      </w:r>
    </w:p>
    <w:p>
      <w:pPr>
        <w:pStyle w:val="ListParagraph"/>
        <w:numPr>
          <w:ilvl w:val="0"/>
          <w:numId w:val="2"/>
        </w:numPr>
        <w:spacing w:after="80"/>
      </w:pPr>
      <w:r>
        <w:t xml:space="preserve">Motion filing volumes by type.</w:t>
      </w:r>
    </w:p>
    <w:p>
      <w:pPr>
        <w:spacing w:after="160"/>
      </w:pPr>
      <w:r>
        <w:t xml:space="preserve">NO judge-level, party-level, or individual-case data is provided under this agreement. All data is aggregated to the circuit level or higher before leaving OSCA systems.</w:t>
      </w:r>
    </w:p>
    <w:p>
      <w:pPr>
        <w:spacing w:after="40" w:before="240"/>
      </w:pPr>
      <w:r>
        <w:rPr>
          <w:b/>
          <w:bCs/>
          <w:color w:val="B8371F"/>
          <w:spacing w:val="40"/>
          <w:sz w:val="18"/>
          <w:szCs w:val="18"/>
        </w:rPr>
        <w:t xml:space="preserve">ARTICLE III</w:t>
      </w:r>
    </w:p>
    <w:p>
      <w:pPr>
        <w:pStyle w:val="Heading2"/>
      </w:pPr>
      <w:r>
        <w:t xml:space="preserve">Data Elements Provided by Platform Partner</w:t>
      </w:r>
    </w:p>
    <w:p>
      <w:pPr>
        <w:spacing w:after="160"/>
      </w:pPr>
      <w:r>
        <w:t xml:space="preserve">Platform Partner will provide the following aggregate data elements to OSCA on a quarterly basis:</w:t>
      </w:r>
    </w:p>
    <w:p>
      <w:pPr>
        <w:pStyle w:val="ListParagraph"/>
        <w:numPr>
          <w:ilvl w:val="0"/>
          <w:numId w:val="2"/>
        </w:numPr>
        <w:spacing w:after="80"/>
      </w:pPr>
      <w:r>
        <w:t xml:space="preserve">Aggregate parenting time compliance rates, county-level, from opt-in user base only.</w:t>
      </w:r>
    </w:p>
    <w:p>
      <w:pPr>
        <w:pStyle w:val="ListParagraph"/>
        <w:numPr>
          <w:ilvl w:val="0"/>
          <w:numId w:val="2"/>
        </w:numPr>
        <w:spacing w:after="80"/>
      </w:pPr>
      <w:r>
        <w:t xml:space="preserve">Aggregate child contact gap distributions.</w:t>
      </w:r>
    </w:p>
    <w:p>
      <w:pPr>
        <w:pStyle w:val="ListParagraph"/>
        <w:numPr>
          <w:ilvl w:val="0"/>
          <w:numId w:val="2"/>
        </w:numPr>
        <w:spacing w:after="80"/>
      </w:pPr>
      <w:r>
        <w:t xml:space="preserve">Aggregate enforcement-request-to-action timelines (user-reported).</w:t>
      </w:r>
    </w:p>
    <w:p>
      <w:pPr>
        <w:spacing w:after="160"/>
      </w:pPr>
      <w:r>
        <w:t xml:space="preserve">NO individual case, party, or identifier data is provided under this agreement. A minimum k-anonymity threshold of 10 is applied to all published cells.</w:t>
      </w:r>
    </w:p>
    <w:p>
      <w:r>
        <w:br w:type="page"/>
      </w:r>
    </w:p>
    <w:p>
      <w:pPr>
        <w:spacing w:after="40" w:before="240"/>
      </w:pPr>
      <w:r>
        <w:rPr>
          <w:b/>
          <w:bCs/>
          <w:color w:val="B8371F"/>
          <w:spacing w:val="40"/>
          <w:sz w:val="18"/>
          <w:szCs w:val="18"/>
        </w:rPr>
        <w:t xml:space="preserve">ARTICLE IV</w:t>
      </w:r>
    </w:p>
    <w:p>
      <w:pPr>
        <w:pStyle w:val="Heading2"/>
      </w:pPr>
      <w:r>
        <w:t xml:space="preserve">Methodology and Governance</w:t>
      </w:r>
    </w:p>
    <w:p>
      <w:pPr>
        <w:spacing w:after="160"/>
      </w:pPr>
      <w:r>
        <w:t xml:space="preserve">All published metrics shall conform to methodology approved by the Methodology Board as constituted in the Catalog Governance Charter (see Document 07). OSCA reserves the right to review and comment on any publication involving OSCA-provided data prior to release, with a 15-business-day review window. Changes to published methodology require a 60-day public comment period before adoption.</w:t>
      </w:r>
    </w:p>
    <w:p>
      <w:pPr>
        <w:spacing w:after="40" w:before="240"/>
      </w:pPr>
      <w:r>
        <w:rPr>
          <w:b/>
          <w:bCs/>
          <w:color w:val="B8371F"/>
          <w:spacing w:val="40"/>
          <w:sz w:val="18"/>
          <w:szCs w:val="18"/>
        </w:rPr>
        <w:t xml:space="preserve">ARTICLE V</w:t>
      </w:r>
    </w:p>
    <w:p>
      <w:pPr>
        <w:pStyle w:val="Heading2"/>
      </w:pPr>
      <w:r>
        <w:t xml:space="preserve">Refresh Cadence</w:t>
      </w:r>
    </w:p>
    <w:p>
      <w:pPr>
        <w:spacing w:after="160"/>
      </w:pPr>
      <w:r>
        <w:t xml:space="preserve">OSCA shall provide quarterly data transfers within 45 days of quarter-end. Platform Partner shall publish aggregate user-contributed metrics on the same quarterly cadence, with methodology, confidence intervals, and sample size disclosed for each cell.</w:t>
      </w:r>
    </w:p>
    <w:p>
      <w:pPr>
        <w:spacing w:after="40" w:before="240"/>
      </w:pPr>
      <w:r>
        <w:rPr>
          <w:b/>
          <w:bCs/>
          <w:color w:val="B8371F"/>
          <w:spacing w:val="40"/>
          <w:sz w:val="18"/>
          <w:szCs w:val="18"/>
        </w:rPr>
        <w:t xml:space="preserve">ARTICLE VI</w:t>
      </w:r>
    </w:p>
    <w:p>
      <w:pPr>
        <w:pStyle w:val="Heading2"/>
      </w:pPr>
      <w:r>
        <w:t xml:space="preserve">Audit Rights</w:t>
      </w:r>
    </w:p>
    <w:p>
      <w:pPr>
        <w:spacing w:after="160"/>
      </w:pPr>
      <w:r>
        <w:t xml:space="preserve">OSCA may request an independent audit of Platform Partner's de-identification pipeline once per calendar year, at Platform Partner's expense. Platform Partner may request an audit of OSCA data provenance on the same basis. Audit results shall be published publicly. The initial audit shall take place within six months of the Effective Date.</w:t>
      </w:r>
    </w:p>
    <w:p>
      <w:pPr>
        <w:spacing w:after="40" w:before="240"/>
      </w:pPr>
      <w:r>
        <w:rPr>
          <w:b/>
          <w:bCs/>
          <w:color w:val="B8371F"/>
          <w:spacing w:val="40"/>
          <w:sz w:val="18"/>
          <w:szCs w:val="18"/>
        </w:rPr>
        <w:t xml:space="preserve">ARTICLE VII</w:t>
      </w:r>
    </w:p>
    <w:p>
      <w:pPr>
        <w:pStyle w:val="Heading2"/>
      </w:pPr>
      <w:r>
        <w:t xml:space="preserve">Prohibited Uses</w:t>
      </w:r>
    </w:p>
    <w:p>
      <w:pPr>
        <w:pStyle w:val="ListParagraph"/>
        <w:numPr>
          <w:ilvl w:val="0"/>
          <w:numId w:val="2"/>
        </w:numPr>
        <w:spacing w:after="80"/>
      </w:pPr>
      <w:r>
        <w:t xml:space="preserve">No published data may be used to rank or compare named individual judges, attorneys, or other court personnel.</w:t>
      </w:r>
    </w:p>
    <w:p>
      <w:pPr>
        <w:pStyle w:val="ListParagraph"/>
        <w:numPr>
          <w:ilvl w:val="0"/>
          <w:numId w:val="2"/>
        </w:numPr>
        <w:spacing w:after="80"/>
      </w:pPr>
      <w:r>
        <w:t xml:space="preserve">No re-identification attempts are permitted; violations terminate this MOU immediately and may result in civil action.</w:t>
      </w:r>
    </w:p>
    <w:p>
      <w:pPr>
        <w:pStyle w:val="ListParagraph"/>
        <w:numPr>
          <w:ilvl w:val="0"/>
          <w:numId w:val="2"/>
        </w:numPr>
        <w:spacing w:after="80"/>
      </w:pPr>
      <w:r>
        <w:t xml:space="preserve">No commercial resale of raw data; published aggregates remain in the public domain under CC-BY license.</w:t>
      </w:r>
    </w:p>
    <w:p>
      <w:pPr>
        <w:pStyle w:val="ListParagraph"/>
        <w:numPr>
          <w:ilvl w:val="0"/>
          <w:numId w:val="2"/>
        </w:numPr>
        <w:spacing w:after="80"/>
      </w:pPr>
      <w:r>
        <w:t xml:space="preserve">No use in active litigation without disclosure to all parties and the court.</w:t>
      </w:r>
    </w:p>
    <w:p>
      <w:pPr>
        <w:spacing w:after="40" w:before="240"/>
      </w:pPr>
      <w:r>
        <w:rPr>
          <w:b/>
          <w:bCs/>
          <w:color w:val="B8371F"/>
          <w:spacing w:val="40"/>
          <w:sz w:val="18"/>
          <w:szCs w:val="18"/>
        </w:rPr>
        <w:t xml:space="preserve">ARTICLE VIII</w:t>
      </w:r>
    </w:p>
    <w:p>
      <w:pPr>
        <w:pStyle w:val="Heading2"/>
      </w:pPr>
      <w:r>
        <w:t xml:space="preserve">Term and Termination</w:t>
      </w:r>
    </w:p>
    <w:p>
      <w:pPr>
        <w:spacing w:after="160"/>
      </w:pPr>
      <w:r>
        <w:t xml:space="preserve">Initial term of thirty-six (36) months commencing on the Effective Date. Either party may terminate for cause with ninety (90) days' written notice, or without cause with one hundred eighty (180) days' written notice. Upon termination, Platform Partner shall cease new publication using OSCA data within thirty (30) days; historical publications remain available with clear period-of-coverage labels. Renewal requires affirmative agreement by both parties, executed in writing.</w:t>
      </w:r>
    </w:p>
    <w:p>
      <w:pPr>
        <w:spacing w:after="40" w:before="240"/>
      </w:pPr>
      <w:r>
        <w:rPr>
          <w:b/>
          <w:bCs/>
          <w:color w:val="B8371F"/>
          <w:spacing w:val="40"/>
          <w:sz w:val="18"/>
          <w:szCs w:val="18"/>
        </w:rPr>
        <w:t xml:space="preserve">ARTICLE IX</w:t>
      </w:r>
    </w:p>
    <w:p>
      <w:pPr>
        <w:pStyle w:val="Heading2"/>
      </w:pPr>
      <w:r>
        <w:t xml:space="preserve">Indemnification and Liability</w:t>
      </w:r>
    </w:p>
    <w:p>
      <w:pPr>
        <w:spacing w:after="160"/>
      </w:pPr>
      <w:r>
        <w:t xml:space="preserve">Each party is responsible for its own acts and omissions. Platform Partner indemnifies OSCA against claims arising from Platform Partner's de-identification failures. OSCA retains sovereign immunity consistent with Missouri law. Neither party is liable for consequential or indirect damages. Platform Partner shall maintain cyber liability insurance of not less than two million dollars ($2,000,000) during the term of this MOU.</w:t>
      </w:r>
    </w:p>
    <w:p>
      <w:pPr>
        <w:spacing w:after="40" w:before="240"/>
      </w:pPr>
      <w:r>
        <w:rPr>
          <w:b/>
          <w:bCs/>
          <w:color w:val="B8371F"/>
          <w:spacing w:val="40"/>
          <w:sz w:val="18"/>
          <w:szCs w:val="18"/>
        </w:rPr>
        <w:t xml:space="preserve">SIGNATURES</w:t>
      </w:r>
    </w:p>
    <w:p>
      <w:pPr>
        <w:pStyle w:val="Heading2"/>
      </w:pPr>
      <w:r>
        <w:t xml:space="preserve">Execution</w:t>
      </w:r>
    </w:p>
    <w:p>
      <w:pPr>
        <w:spacing w:after="160"/>
      </w:pPr>
      <w:r>
        <w:t xml:space="preserve">IN WITNESS WHEREOF, the parties have caused this Memorandum of Understanding to be executed by their duly authorized representatives as of the Effective Date written below.</w:t>
      </w:r>
    </w:p>
    <w:p>
      <w:pPr>
        <w:spacing w:after="160"/>
      </w:pPr>
      <w:r>
        <w:t xml:space="preserve"> </w:t>
      </w:r>
    </w:p>
    <w:p>
      <w:pPr>
        <w:spacing w:after="160"/>
      </w:pPr>
      <w:r>
        <w:t xml:space="preserve">_____________________________________</w:t>
      </w:r>
    </w:p>
    <w:p>
      <w:pPr>
        <w:spacing w:after="160"/>
      </w:pPr>
      <w:r>
        <w:t xml:space="preserve">For the Missouri Office of State Courts Administrator</w:t>
      </w:r>
    </w:p>
    <w:p>
      <w:pPr>
        <w:spacing w:after="160"/>
      </w:pPr>
      <w:r>
        <w:t xml:space="preserve">Name, Title, Date</w:t>
      </w:r>
    </w:p>
    <w:p>
      <w:pPr>
        <w:spacing w:after="160"/>
      </w:pPr>
      <w:r>
        <w:t xml:space="preserve"> </w:t>
      </w:r>
    </w:p>
    <w:p>
      <w:pPr>
        <w:spacing w:after="160"/>
      </w:pPr>
      <w:r>
        <w:t xml:space="preserve">_____________________________________</w:t>
      </w:r>
    </w:p>
    <w:p>
      <w:pPr>
        <w:spacing w:after="160"/>
      </w:pPr>
      <w:r>
        <w:t xml:space="preserve">For [Platform Partner entity]</w:t>
      </w:r>
    </w:p>
    <w:p>
      <w:pPr>
        <w:spacing w:after="160"/>
      </w:pPr>
      <w:r>
        <w:t xml:space="preserve">Name, Title,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06 · OSCA MOU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2026-04-20T23:18:42.754Z</dcterms:created>
  <dcterms:modified xsi:type="dcterms:W3CDTF">2026-04-20T23:18:42.754Z</dcterms:modified>
</cp:coreProperties>
</file>

<file path=docProps/custom.xml><?xml version="1.0" encoding="utf-8"?>
<Properties xmlns="http://schemas.openxmlformats.org/officeDocument/2006/custom-properties" xmlns:vt="http://schemas.openxmlformats.org/officeDocument/2006/docPropsVTypes"/>
</file>