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371F"/>
          <w:spacing w:val="60"/>
          <w:sz w:val="18"/>
          <w:szCs w:val="18"/>
        </w:rPr>
        <w:t xml:space="preserve">DOCUMENT 07</w:t>
      </w:r>
    </w:p>
    <w:p>
      <w:pPr>
        <w:spacing w:after="80"/>
      </w:pPr>
      <w:r>
        <w:rPr>
          <w:b/>
          <w:bCs/>
          <w:color w:val="1F2744"/>
          <w:spacing w:val="40"/>
          <w:sz w:val="22"/>
          <w:szCs w:val="22"/>
        </w:rPr>
        <w:t xml:space="preserve">THE FAMILY COURT METRIC CATALOG</w:t>
      </w:r>
    </w:p>
    <w:p>
      <w:pPr>
        <w:spacing w:after="40"/>
      </w:pPr>
      <w:r>
        <w:rPr>
          <w:b/>
          <w:bCs/>
          <w:color w:val="0D1220"/>
          <w:sz w:val="52"/>
          <w:szCs w:val="52"/>
        </w:rPr>
        <w:t xml:space="preserve">Methodology Board</w:t>
      </w:r>
    </w:p>
    <w:p>
      <w:pPr>
        <w:spacing w:after="240"/>
      </w:pPr>
      <w:r>
        <w:rPr>
          <w:b/>
          <w:bCs/>
          <w:color w:val="0D1220"/>
          <w:sz w:val="52"/>
          <w:szCs w:val="52"/>
        </w:rPr>
        <w:t xml:space="preserve">Charter</w:t>
      </w:r>
    </w:p>
    <w:p>
      <w:pPr>
        <w:spacing w:after="400"/>
      </w:pPr>
      <w:r>
        <w:rPr>
          <w:color w:val="1F2744"/>
          <w:sz w:val="26"/>
          <w:szCs w:val="26"/>
        </w:rPr>
        <w:t xml:space="preserve">Governance structure for the body that approves all metric methodology changes, composition rules, and operating procedures.</w:t>
      </w:r>
    </w:p>
    <w:p>
      <w:pPr>
        <w:pBdr>
          <w:bottom w:val="single" w:color="0D1220" w:sz="6" w:space="1"/>
        </w:pBdr>
        <w:spacing w:after="120" w:before="120"/>
      </w:pPr>
      <w:r>
        <w:t xml:space="preserve"/>
      </w:r>
    </w:p>
    <w:p>
      <w:pPr>
        <w:spacing w:after="60" w:before="200"/>
      </w:pPr>
      <w:r>
        <w:rPr>
          <w:b/>
          <w:bCs/>
          <w:color w:val="555046"/>
          <w:spacing w:val="40"/>
          <w:sz w:val="16"/>
          <w:szCs w:val="16"/>
        </w:rPr>
        <w:t xml:space="preserve">PREPARED FOR</w:t>
      </w:r>
    </w:p>
    <w:p>
      <w:pPr>
        <w:spacing w:after="120"/>
      </w:pPr>
      <w:r>
        <w:rPr>
          <w:color w:val="0D1220"/>
          <w:sz w:val="24"/>
          <w:szCs w:val="24"/>
        </w:rPr>
        <w:t xml:space="preserve">Board Candidates · Stakeholders</w:t>
      </w:r>
    </w:p>
    <w:p>
      <w:pPr>
        <w:spacing w:before="400"/>
      </w:pPr>
      <w:r>
        <w:rPr>
          <w:b/>
          <w:bCs/>
          <w:color w:val="555046"/>
          <w:spacing w:val="30"/>
          <w:sz w:val="18"/>
          <w:szCs w:val="18"/>
        </w:rPr>
        <w:t xml:space="preserve">Missouri Pilot · Version 0.3 · 2026</w:t>
      </w:r>
    </w:p>
    <w:p>
      <w:pPr>
        <w:spacing w:after="40"/>
      </w:pPr>
      <w:r>
        <w:rPr>
          <w:color w:val="555046"/>
          <w:sz w:val="18"/>
          <w:szCs w:val="18"/>
        </w:rPr>
        <w:t xml:space="preserve">A CoTrackPro Civic Publication</w:t>
      </w:r>
    </w:p>
    <w:p>
      <w:r>
        <w:br w:type="page"/>
      </w:r>
    </w:p>
    <w:p>
      <w:pPr>
        <w:spacing w:after="40" w:before="240"/>
      </w:pPr>
      <w:r>
        <w:rPr>
          <w:b/>
          <w:bCs/>
          <w:color w:val="B8371F"/>
          <w:spacing w:val="40"/>
          <w:sz w:val="18"/>
          <w:szCs w:val="18"/>
        </w:rPr>
        <w:t xml:space="preserve">PURPOSE</w:t>
      </w:r>
    </w:p>
    <w:p>
      <w:pPr>
        <w:pStyle w:val="Heading1"/>
      </w:pPr>
      <w:r>
        <w:t xml:space="preserve">Why a Methodology Board</w:t>
      </w:r>
    </w:p>
    <w:p>
      <w:pPr>
        <w:spacing w:after="160"/>
      </w:pPr>
      <w:r>
        <w:t xml:space="preserve">No single entity — not OSCA, not the Platform Partner, not any advocacy group — has the cross-disciplinary expertise and independence required to adjudicate methodology decisions for the Family Court Metric Catalog. The Methodology Board exists to provide that adjudication with balanced representation, public accountability, and procedural rigor.</w:t>
      </w:r>
    </w:p>
    <w:p>
      <w:pPr>
        <w:spacing w:after="160"/>
      </w:pPr>
      <w:r>
        <w:t xml:space="preserve">Every metric adoption, every methodology revision, and every new publication category requires Board approval. Dissents are recorded and published. Votes are public.</w:t>
      </w:r>
    </w:p>
    <w:p>
      <w:pPr>
        <w:spacing w:after="40" w:before="240"/>
      </w:pPr>
      <w:r>
        <w:rPr>
          <w:b/>
          <w:bCs/>
          <w:color w:val="B8371F"/>
          <w:spacing w:val="40"/>
          <w:sz w:val="18"/>
          <w:szCs w:val="18"/>
        </w:rPr>
        <w:t xml:space="preserve">COMPOSITION</w:t>
      </w:r>
    </w:p>
    <w:p>
      <w:pPr>
        <w:pStyle w:val="Heading1"/>
      </w:pPr>
      <w:r>
        <w:t xml:space="preserve">Eleven Seats, Four Constituencies</w:t>
      </w:r>
    </w:p>
    <w:p>
      <w:pPr>
        <w:spacing w:after="160"/>
      </w:pPr>
      <w:r>
        <w:t xml:space="preserve">The Board has eleven seats distributed across four stakeholder constituencies. The structure is designed to prevent capture by any single interest.</w:t>
      </w:r>
    </w:p>
    <w:p>
      <w:pPr>
        <w:pStyle w:val="Heading2"/>
      </w:pPr>
      <w:r>
        <w:t xml:space="preserve">Academic Constituency (3 seats)</w:t>
      </w:r>
    </w:p>
    <w:p>
      <w:pPr>
        <w:spacing w:after="160"/>
      </w:pPr>
      <w:r>
        <w:t xml:space="preserve">Three researchers from accredited Missouri institutions with primary appointments in family law, child development, social policy, or quantitative social science. Terms are three years, staggered so that one seat rotates each year. No two seats may be filled simultaneously by researchers from the same institution.</w:t>
      </w:r>
    </w:p>
    <w:p>
      <w:pPr>
        <w:pStyle w:val="Heading2"/>
      </w:pPr>
      <w:r>
        <w:t xml:space="preserve">Judicial Constituency (2 seats)</w:t>
      </w:r>
    </w:p>
    <w:p>
      <w:pPr>
        <w:spacing w:after="160"/>
      </w:pPr>
      <w:r>
        <w:t xml:space="preserve">Two retired family court judges with jurisdictional diversity (one from Missouri, one from another state). No active judges serve on the Board. Terms are three years. Judicial constituency members participate in all votes but recuse from metric adoption decisions directly affecting circuits where they previously served.</w:t>
      </w:r>
    </w:p>
    <w:p>
      <w:pPr>
        <w:pStyle w:val="Heading2"/>
      </w:pPr>
      <w:r>
        <w:t xml:space="preserve">Bar Constituency (2 seats)</w:t>
      </w:r>
    </w:p>
    <w:p>
      <w:pPr>
        <w:spacing w:after="160"/>
      </w:pPr>
      <w:r>
        <w:t xml:space="preserve">Two practicing family law attorneys nominated by the Missouri Bar Family Law Section. One seat must be filled by an attorney whose practice is at least 50% low-income client representation (legal aid, public defender family practice, or equivalent). Terms are two years with one renewal permitted.</w:t>
      </w:r>
    </w:p>
    <w:p>
      <w:r>
        <w:br w:type="page"/>
      </w:r>
    </w:p>
    <w:p>
      <w:pPr>
        <w:pStyle w:val="Heading2"/>
      </w:pPr>
      <w:r>
        <w:t xml:space="preserve">Stakeholder Constituency (4 seats)</w:t>
      </w:r>
    </w:p>
    <w:p>
      <w:pPr>
        <w:spacing w:after="160"/>
      </w:pPr>
      <w:r>
        <w:t xml:space="preserve">Four seats representing the populations most directly affected by family court operations:</w:t>
      </w:r>
    </w:p>
    <w:p>
      <w:pPr>
        <w:pStyle w:val="ListParagraph"/>
        <w:numPr>
          <w:ilvl w:val="0"/>
          <w:numId w:val="2"/>
        </w:numPr>
        <w:spacing w:after="80"/>
      </w:pPr>
      <w:r>
        <w:t xml:space="preserve">Seat 8: Domestic violence survivor advocate, nominated by the Missouri Coalition Against Domestic and Sexual Violence.</w:t>
      </w:r>
    </w:p>
    <w:p>
      <w:pPr>
        <w:pStyle w:val="ListParagraph"/>
        <w:numPr>
          <w:ilvl w:val="0"/>
          <w:numId w:val="2"/>
        </w:numPr>
        <w:spacing w:after="80"/>
      </w:pPr>
      <w:r>
        <w:t xml:space="preserve">Seat 9: Fathers' rights representative, nominated by a recognized fathers' advocacy organization.</w:t>
      </w:r>
    </w:p>
    <w:p>
      <w:pPr>
        <w:pStyle w:val="ListParagraph"/>
        <w:numPr>
          <w:ilvl w:val="0"/>
          <w:numId w:val="2"/>
        </w:numPr>
        <w:spacing w:after="80"/>
      </w:pPr>
      <w:r>
        <w:t xml:space="preserve">Seat 10: Lived-experience parent member with no active family court case, rotating annually.</w:t>
      </w:r>
    </w:p>
    <w:p>
      <w:pPr>
        <w:pStyle w:val="ListParagraph"/>
        <w:numPr>
          <w:ilvl w:val="0"/>
          <w:numId w:val="2"/>
        </w:numPr>
        <w:spacing w:after="80"/>
      </w:pPr>
      <w:r>
        <w:t xml:space="preserve">Seat 11: Licensed child welfare or mental health professional with trauma-informed credentials.</w:t>
      </w:r>
    </w:p>
    <w:p>
      <w:pPr>
        <w:spacing w:after="160"/>
      </w:pPr>
      <w:r>
        <w:t xml:space="preserve">The deliberate pairing of the DV advocate and fathers' rights seats is structural. Balance between these perspectives is essential to the Catalog's credibility with both constituencies.</w:t>
      </w:r>
    </w:p>
    <w:p>
      <w:pPr>
        <w:spacing w:after="40" w:before="240"/>
      </w:pPr>
      <w:r>
        <w:rPr>
          <w:b/>
          <w:bCs/>
          <w:color w:val="B8371F"/>
          <w:spacing w:val="40"/>
          <w:sz w:val="18"/>
          <w:szCs w:val="18"/>
        </w:rPr>
        <w:t xml:space="preserve">FUNDER CAP</w:t>
      </w:r>
    </w:p>
    <w:p>
      <w:pPr>
        <w:pStyle w:val="Heading1"/>
      </w:pPr>
      <w:r>
        <w:t xml:space="preserve">20% Rule</w:t>
      </w:r>
    </w:p>
    <w:p>
      <w:pPr>
        <w:spacing w:after="160"/>
      </w:pPr>
      <w:r>
        <w:t xml:space="preserve">No single funder, regardless of category, may provide more than 20% of the Board's operational budget or of the Platform Partner's budget attributable to Catalog operations. Any approach to this threshold triggers mandatory funder diversification before the next fiscal period. Funders are publicly disclosed annually with dollar amounts and intended use.</w:t>
      </w:r>
    </w:p>
    <w:p>
      <w:pPr>
        <w:spacing w:after="40" w:before="240"/>
      </w:pPr>
      <w:r>
        <w:rPr>
          <w:b/>
          <w:bCs/>
          <w:color w:val="B8371F"/>
          <w:spacing w:val="40"/>
          <w:sz w:val="18"/>
          <w:szCs w:val="18"/>
        </w:rPr>
        <w:t xml:space="preserve">MEETINGS</w:t>
      </w:r>
    </w:p>
    <w:p>
      <w:pPr>
        <w:pStyle w:val="Heading1"/>
      </w:pPr>
      <w:r>
        <w:t xml:space="preserve">Operating Procedures</w:t>
      </w:r>
    </w:p>
    <w:p>
      <w:pPr>
        <w:spacing w:after="160"/>
      </w:pPr>
      <w:r>
        <w:t xml:space="preserve">The Board meets quarterly with a public notice of at least fourteen days. Meetings are open to the public in their deliberative portions and closed only for specific personnel or contract matters. Every substantive vote occurs in open session. Board materials, including proposed methodology texts and staff recommendations, are published at least seven days before the meeting.</w:t>
      </w:r>
    </w:p>
    <w:p>
      <w:pPr>
        <w:pStyle w:val="Heading2"/>
      </w:pPr>
      <w:r>
        <w:t xml:space="preserve">Quorum</w:t>
      </w:r>
    </w:p>
    <w:p>
      <w:pPr>
        <w:spacing w:after="160"/>
      </w:pPr>
      <w:r>
        <w:t xml:space="preserve">Seven members constitute a quorum. No vote may proceed without at least one member from each constituency present.</w:t>
      </w:r>
    </w:p>
    <w:p>
      <w:pPr>
        <w:pStyle w:val="Heading2"/>
      </w:pPr>
      <w:r>
        <w:t xml:space="preserve">Voting</w:t>
      </w:r>
    </w:p>
    <w:p>
      <w:pPr>
        <w:spacing w:after="160"/>
      </w:pPr>
      <w:r>
        <w:t xml:space="preserve">Metric adoption, methodology revision, and publication authorization require a two-thirds supermajority of those present and voting (not two-thirds of total membership). Procedural matters require a simple majority. Abstentions do not count toward either total.</w:t>
      </w:r>
    </w:p>
    <w:p>
      <w:pPr>
        <w:pStyle w:val="Heading2"/>
      </w:pPr>
      <w:r>
        <w:t xml:space="preserve">Dissents</w:t>
      </w:r>
    </w:p>
    <w:p>
      <w:pPr>
        <w:spacing w:after="160"/>
      </w:pPr>
      <w:r>
        <w:t xml:space="preserve">Any member voting against an adopted methodology may submit a written dissent within fourteen days of the vote. Dissents are published alongside the methodology and are carried with all subsequent revisions.</w:t>
      </w:r>
    </w:p>
    <w:p>
      <w:pPr>
        <w:spacing w:after="40" w:before="240"/>
      </w:pPr>
      <w:r>
        <w:rPr>
          <w:b/>
          <w:bCs/>
          <w:color w:val="B8371F"/>
          <w:spacing w:val="40"/>
          <w:sz w:val="18"/>
          <w:szCs w:val="18"/>
        </w:rPr>
        <w:t xml:space="preserve">REMOVAL AND VACANCY</w:t>
      </w:r>
    </w:p>
    <w:p>
      <w:pPr>
        <w:pStyle w:val="Heading1"/>
      </w:pPr>
      <w:r>
        <w:t xml:space="preserve">Accountability</w:t>
      </w:r>
    </w:p>
    <w:p>
      <w:pPr>
        <w:spacing w:after="160"/>
      </w:pPr>
      <w:r>
        <w:t xml:space="preserve">A member may be removed only for cause by a two-thirds vote of the remaining Board, following a procedure that includes written notice, opportunity to respond, and closed-session deliberation. Cause includes undisclosed conflicts of interest, violation of the re-identification prohibition, or persistent failure to attend meetings (three consecutive unexcused absences).</w:t>
      </w:r>
    </w:p>
    <w:p>
      <w:pPr>
        <w:spacing w:after="160"/>
      </w:pPr>
      <w:r>
        <w:t xml:space="preserve">Vacancies are filled by the originating nominating body within ninety days. Interim appointments may be made by the Board for up to one hundred eighty days if the nominating body does not act.</w:t>
      </w:r>
    </w:p>
    <w:p>
      <w:pPr>
        <w:spacing w:after="40" w:before="240"/>
      </w:pPr>
      <w:r>
        <w:rPr>
          <w:b/>
          <w:bCs/>
          <w:color w:val="B8371F"/>
          <w:spacing w:val="40"/>
          <w:sz w:val="18"/>
          <w:szCs w:val="18"/>
        </w:rPr>
        <w:t xml:space="preserve">CONFLICTS OF INTEREST</w:t>
      </w:r>
    </w:p>
    <w:p>
      <w:pPr>
        <w:pStyle w:val="Heading1"/>
      </w:pPr>
      <w:r>
        <w:t xml:space="preserve">Disclosure Obligations</w:t>
      </w:r>
    </w:p>
    <w:p>
      <w:pPr>
        <w:spacing w:after="160"/>
      </w:pPr>
      <w:r>
        <w:t xml:space="preserve">Every member discloses upon appointment and annually thereafter:</w:t>
      </w:r>
    </w:p>
    <w:p>
      <w:pPr>
        <w:pStyle w:val="ListParagraph"/>
        <w:numPr>
          <w:ilvl w:val="0"/>
          <w:numId w:val="2"/>
        </w:numPr>
        <w:spacing w:after="80"/>
      </w:pPr>
      <w:r>
        <w:t xml:space="preserve">All sources of compensation related to family law or family court research above $5,000 annually.</w:t>
      </w:r>
    </w:p>
    <w:p>
      <w:pPr>
        <w:pStyle w:val="ListParagraph"/>
        <w:numPr>
          <w:ilvl w:val="0"/>
          <w:numId w:val="2"/>
        </w:numPr>
        <w:spacing w:after="80"/>
      </w:pPr>
      <w:r>
        <w:t xml:space="preserve">All active litigation in which the member is a party (personally or professionally).</w:t>
      </w:r>
    </w:p>
    <w:p>
      <w:pPr>
        <w:pStyle w:val="ListParagraph"/>
        <w:numPr>
          <w:ilvl w:val="0"/>
          <w:numId w:val="2"/>
        </w:numPr>
        <w:spacing w:after="80"/>
      </w:pPr>
      <w:r>
        <w:t xml:space="preserve">All family relationships with active family court judges, practitioners, or OSCA staff.</w:t>
      </w:r>
    </w:p>
    <w:p>
      <w:pPr>
        <w:pStyle w:val="ListParagraph"/>
        <w:numPr>
          <w:ilvl w:val="0"/>
          <w:numId w:val="2"/>
        </w:numPr>
        <w:spacing w:after="80"/>
      </w:pPr>
      <w:r>
        <w:t xml:space="preserve">All financial interests in entities that could benefit from Catalog publication decisions.</w:t>
      </w:r>
    </w:p>
    <w:p>
      <w:pPr>
        <w:spacing w:after="160"/>
      </w:pPr>
      <w:r>
        <w:t xml:space="preserve">Members recuse from specific votes where a material conflict applies. Recusals are recorded in meeting minutes.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220" w:sz="6" w:space="4"/>
      </w:pBdr>
      <w:tabs>
        <w:tab w:val="center" w:pos="4680"/>
        <w:tab w:val="right" w:pos="9026"/>
      </w:tabs>
    </w:pPr>
    <w:r>
      <w:rPr>
        <w:color w:val="555046"/>
        <w:sz w:val="16"/>
        <w:szCs w:val="16"/>
      </w:rPr>
      <w:t xml:space="preserve">A CoTrackPro Civic Publication</w:t>
    </w:r>
    <w:r>
      <w:t xml:space="preserve">	</w:t>
    </w:r>
    <w:r>
      <w:rPr>
        <w:color w:val="55504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555046"/>
        <w:sz w:val="16"/>
        <w:szCs w:val="16"/>
      </w:rPr>
      <w:t xml:space="preserve">v0.3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220" w:sz="6" w:space="4"/>
      </w:pBdr>
      <w:tabs>
        <w:tab w:val="right" w:pos="9026"/>
      </w:tabs>
    </w:pPr>
    <w:r>
      <w:rPr>
        <w:b/>
        <w:bCs/>
        <w:color w:val="0D1220"/>
        <w:spacing w:val="30"/>
        <w:sz w:val="16"/>
        <w:szCs w:val="16"/>
      </w:rPr>
      <w:t xml:space="preserve">FAMILY COURT METRIC CATALOG</w:t>
    </w:r>
    <w:r>
      <w:t xml:space="preserve">	</w:t>
    </w:r>
    <w:r>
      <w:rPr>
        <w:color w:val="555046"/>
        <w:spacing w:val="20"/>
        <w:sz w:val="16"/>
        <w:szCs w:val="16"/>
      </w:rPr>
      <w:t xml:space="preserve">DOC 07 · METHODOLOGY BOARD CHARTER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2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12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2026-04-20T23:18:42.767Z</dcterms:created>
  <dcterms:modified xsi:type="dcterms:W3CDTF">2026-04-20T23:18:42.767Z</dcterms:modified>
</cp:coreProperties>
</file>

<file path=docProps/custom.xml><?xml version="1.0" encoding="utf-8"?>
<Properties xmlns="http://schemas.openxmlformats.org/officeDocument/2006/custom-properties" xmlns:vt="http://schemas.openxmlformats.org/officeDocument/2006/docPropsVTypes"/>
</file>