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09</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Metric Adoption</w:t>
      </w:r>
    </w:p>
    <w:p>
      <w:pPr>
        <w:spacing w:after="240"/>
      </w:pPr>
      <w:r>
        <w:rPr>
          <w:b/>
          <w:bCs/>
          <w:color w:val="0D1220"/>
          <w:sz w:val="52"/>
          <w:szCs w:val="52"/>
        </w:rPr>
        <w:t xml:space="preserve">Workflow</w:t>
      </w:r>
    </w:p>
    <w:p>
      <w:pPr>
        <w:spacing w:after="400"/>
      </w:pPr>
      <w:r>
        <w:rPr>
          <w:color w:val="1F2744"/>
          <w:sz w:val="26"/>
          <w:szCs w:val="26"/>
        </w:rPr>
        <w:t xml:space="preserve">The end-to-end procedure for proposing, reviewing, and adopting a new metric or methodology revision.</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Methodology Board · Staff · Public</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spacing w:after="40" w:before="240"/>
      </w:pPr>
      <w:r>
        <w:rPr>
          <w:b/>
          <w:bCs/>
          <w:color w:val="B8371F"/>
          <w:spacing w:val="40"/>
          <w:sz w:val="18"/>
          <w:szCs w:val="18"/>
        </w:rPr>
        <w:t xml:space="preserve">OVERVIEW</w:t>
      </w:r>
    </w:p>
    <w:p>
      <w:pPr>
        <w:pStyle w:val="Heading1"/>
      </w:pPr>
      <w:r>
        <w:t xml:space="preserve">Five Stages From Proposal to Publication</w:t>
      </w:r>
    </w:p>
    <w:p>
      <w:pPr>
        <w:spacing w:after="160"/>
      </w:pPr>
      <w:r>
        <w:t xml:space="preserve">Every metric that appears in the Family Court Metric Catalog — and every subsequent change to how it is measured — passes through a five-stage adoption workflow. The workflow is public, versioned, and auditable. No metric shortcut-adoptions exist, including for the initial catalog: every metric in v1.0 will have passed through this process during the pilot's initial methodology window.</w:t>
      </w:r>
    </w:p>
    <w:p>
      <w:pPr>
        <w:spacing w:after="40" w:before="240"/>
      </w:pPr>
      <w:r>
        <w:rPr>
          <w:b/>
          <w:bCs/>
          <w:color w:val="B8371F"/>
          <w:spacing w:val="40"/>
          <w:sz w:val="18"/>
          <w:szCs w:val="18"/>
        </w:rPr>
        <w:t xml:space="preserve">STAGE 1</w:t>
      </w:r>
    </w:p>
    <w:p>
      <w:pPr>
        <w:pStyle w:val="Heading1"/>
      </w:pPr>
      <w:r>
        <w:t xml:space="preserve">Proposal</w:t>
      </w:r>
    </w:p>
    <w:p>
      <w:pPr>
        <w:spacing w:after="160"/>
      </w:pPr>
      <w:r>
        <w:t xml:space="preserve">A proposal may originate from any of the following sources:</w:t>
      </w:r>
    </w:p>
    <w:p>
      <w:pPr>
        <w:pStyle w:val="ListParagraph"/>
        <w:numPr>
          <w:ilvl w:val="0"/>
          <w:numId w:val="2"/>
        </w:numPr>
        <w:spacing w:after="80"/>
      </w:pPr>
      <w:r>
        <w:t xml:space="preserve">A Methodology Board member.</w:t>
      </w:r>
    </w:p>
    <w:p>
      <w:pPr>
        <w:pStyle w:val="ListParagraph"/>
        <w:numPr>
          <w:ilvl w:val="0"/>
          <w:numId w:val="2"/>
        </w:numPr>
        <w:spacing w:after="80"/>
      </w:pPr>
      <w:r>
        <w:t xml:space="preserve">A member of the public (via an open submission portal).</w:t>
      </w:r>
    </w:p>
    <w:p>
      <w:pPr>
        <w:pStyle w:val="ListParagraph"/>
        <w:numPr>
          <w:ilvl w:val="0"/>
          <w:numId w:val="2"/>
        </w:numPr>
        <w:spacing w:after="80"/>
      </w:pPr>
      <w:r>
        <w:t xml:space="preserve">A participating jurisdiction (via OSCA or circuit presiding judges).</w:t>
      </w:r>
    </w:p>
    <w:p>
      <w:pPr>
        <w:pStyle w:val="ListParagraph"/>
        <w:numPr>
          <w:ilvl w:val="0"/>
          <w:numId w:val="2"/>
        </w:numPr>
        <w:spacing w:after="80"/>
      </w:pPr>
      <w:r>
        <w:t xml:space="preserve">An academic partner (via DUA holder submission).</w:t>
      </w:r>
    </w:p>
    <w:p>
      <w:pPr>
        <w:pStyle w:val="ListParagraph"/>
        <w:numPr>
          <w:ilvl w:val="0"/>
          <w:numId w:val="2"/>
        </w:numPr>
        <w:spacing w:after="80"/>
      </w:pPr>
      <w:r>
        <w:t xml:space="preserve">Staff of the Platform Partner (as routine operational proposals).</w:t>
      </w:r>
    </w:p>
    <w:p>
      <w:pPr>
        <w:spacing w:after="160"/>
      </w:pPr>
      <w:r>
        <w:t xml:space="preserve">Proposals must include a draft operational definition, proposed disclosure tier, proposed publication cadence, and a one-page rationale. A templated submission form is provided.</w:t>
      </w:r>
    </w:p>
    <w:p>
      <w:pPr>
        <w:spacing w:after="40" w:before="240"/>
      </w:pPr>
      <w:r>
        <w:rPr>
          <w:b/>
          <w:bCs/>
          <w:color w:val="B8371F"/>
          <w:spacing w:val="40"/>
          <w:sz w:val="18"/>
          <w:szCs w:val="18"/>
        </w:rPr>
        <w:t xml:space="preserve">STAGE 2</w:t>
      </w:r>
    </w:p>
    <w:p>
      <w:pPr>
        <w:pStyle w:val="Heading1"/>
      </w:pPr>
      <w:r>
        <w:t xml:space="preserve">Data Ethics Review</w:t>
      </w:r>
    </w:p>
    <w:p>
      <w:pPr>
        <w:spacing w:after="160"/>
      </w:pPr>
      <w:r>
        <w:t xml:space="preserve">Proposals proceed to Data Ethics Review (see Document 08) for harm analysis. The Review's finding — APPROVED, APPROVED WITH CONDITIONS, or NOT APPROVED — is published along with the proposal. NOT APPROVED proposals may still reach the Methodology Board but require a five-sevenths Board supermajority to advance.</w:t>
      </w:r>
    </w:p>
    <w:p>
      <w:pPr>
        <w:spacing w:after="40" w:before="240"/>
      </w:pPr>
      <w:r>
        <w:rPr>
          <w:b/>
          <w:bCs/>
          <w:color w:val="B8371F"/>
          <w:spacing w:val="40"/>
          <w:sz w:val="18"/>
          <w:szCs w:val="18"/>
        </w:rPr>
        <w:t xml:space="preserve">STAGE 3</w:t>
      </w:r>
    </w:p>
    <w:p>
      <w:pPr>
        <w:pStyle w:val="Heading1"/>
      </w:pPr>
      <w:r>
        <w:t xml:space="preserve">Public Comment</w:t>
      </w:r>
    </w:p>
    <w:p>
      <w:pPr>
        <w:spacing w:after="160"/>
      </w:pPr>
      <w:r>
        <w:t xml:space="preserve">Proposals that clear Data Ethics Review enter a sixty-day public comment period. During this period, anyone may submit written comments through a public portal. Comments are published along with the proposal. Staff prepares a summary of themes and recurring concerns that is presented to the Methodology Board with the final version of the proposal.</w:t>
      </w:r>
    </w:p>
    <w:p>
      <w:pPr>
        <w:spacing w:after="160"/>
      </w:pPr>
      <w:r>
        <w:t xml:space="preserve">Proposals that receive substantive public comment may be revised by the proposer before the Board vote. Revised proposals do not require a new sixty-day comment period unless the revision materially changes the disclosure tier or harm profile.</w:t>
      </w:r>
    </w:p>
    <w:p>
      <w:pPr>
        <w:spacing w:after="40" w:before="240"/>
      </w:pPr>
      <w:r>
        <w:rPr>
          <w:b/>
          <w:bCs/>
          <w:color w:val="B8371F"/>
          <w:spacing w:val="40"/>
          <w:sz w:val="18"/>
          <w:szCs w:val="18"/>
        </w:rPr>
        <w:t xml:space="preserve">STAGE 4</w:t>
      </w:r>
    </w:p>
    <w:p>
      <w:pPr>
        <w:pStyle w:val="Heading1"/>
      </w:pPr>
      <w:r>
        <w:t xml:space="preserve">Board Vote</w:t>
      </w:r>
    </w:p>
    <w:p>
      <w:pPr>
        <w:spacing w:after="160"/>
      </w:pPr>
      <w:r>
        <w:t xml:space="preserve">The Methodology Board considers the final proposal at its next regular meeting. A quorum (seven members, at least one from each constituency) must be present. The Board may ADOPT, ADOPT WITH MODIFICATIONS, DEFER, or REJECT. Adoption and modification require a two-thirds supermajority of those present and voting. Dissents are published within fourteen days.</w:t>
      </w:r>
    </w:p>
    <w:p>
      <w:pPr>
        <w:spacing w:after="40" w:before="240"/>
      </w:pPr>
      <w:r>
        <w:rPr>
          <w:b/>
          <w:bCs/>
          <w:color w:val="B8371F"/>
          <w:spacing w:val="40"/>
          <w:sz w:val="18"/>
          <w:szCs w:val="18"/>
        </w:rPr>
        <w:t xml:space="preserve">STAGE 5</w:t>
      </w:r>
    </w:p>
    <w:p>
      <w:pPr>
        <w:pStyle w:val="Heading1"/>
      </w:pPr>
      <w:r>
        <w:t xml:space="preserve">Publication</w:t>
      </w:r>
    </w:p>
    <w:p>
      <w:pPr>
        <w:spacing w:after="160"/>
      </w:pPr>
      <w:r>
        <w:t xml:space="preserve">Adopted methodology is versioned, frozen, and published in the Catalog. The adoption version becomes immutable — any subsequent change is a new version that goes through the full workflow. The first publication of data using a new methodology cannot occur earlier than ninety days after adoption, to allow implementation, audit, and stakeholder notification.</w:t>
      </w:r>
    </w:p>
    <w:p>
      <w:r>
        <w:br w:type="page"/>
      </w:r>
    </w:p>
    <w:p>
      <w:pPr>
        <w:spacing w:after="40" w:before="240"/>
      </w:pPr>
      <w:r>
        <w:rPr>
          <w:b/>
          <w:bCs/>
          <w:color w:val="B8371F"/>
          <w:spacing w:val="40"/>
          <w:sz w:val="18"/>
          <w:szCs w:val="18"/>
        </w:rPr>
        <w:t xml:space="preserve">VERSIONING</w:t>
      </w:r>
    </w:p>
    <w:p>
      <w:pPr>
        <w:pStyle w:val="Heading1"/>
      </w:pPr>
      <w:r>
        <w:t xml:space="preserve">How Changes Are Tracked</w:t>
      </w:r>
    </w:p>
    <w:p>
      <w:pPr>
        <w:spacing w:after="160"/>
      </w:pPr>
      <w:r>
        <w:t xml:space="preserve">Every methodology carries a semantic version number (major.minor.patch). Major changes (e.g., change in disclosure tier, fundamental redefinition) require the full workflow. Minor changes (e.g., sample-size threshold adjustment, confidence-interval methodology) require a shortened thirty-day comment period but otherwise follow the same stages. Patch changes (e.g., typo correction, clarification of existing language) can be made by staff with notice to the Board but without a vote.</w:t>
      </w:r>
    </w:p>
    <w:p>
      <w:pPr>
        <w:spacing w:after="40" w:before="240"/>
      </w:pPr>
      <w:r>
        <w:rPr>
          <w:b/>
          <w:bCs/>
          <w:color w:val="B8371F"/>
          <w:spacing w:val="40"/>
          <w:sz w:val="18"/>
          <w:szCs w:val="18"/>
        </w:rPr>
        <w:t xml:space="preserve">EMERGENCY WITHDRAWAL</w:t>
      </w:r>
    </w:p>
    <w:p>
      <w:pPr>
        <w:pStyle w:val="Heading1"/>
      </w:pPr>
      <w:r>
        <w:t xml:space="preserve">When a Metric Must Be Pulled Immediately</w:t>
      </w:r>
    </w:p>
    <w:p>
      <w:pPr>
        <w:spacing w:after="160"/>
      </w:pPr>
      <w:r>
        <w:t xml:space="preserve">In rare circumstances — a re-identification incident, a newly-discovered privacy flaw, a statutory change — a metric may require immediate suspension of publication. The Data Ethics Review chair, in consultation with the Methodology Board chair and legal counsel, may order an emergency withdrawal. The withdrawal is published with its rationale within seven days. A full Board review of the withdrawal occurs at the next regular meeting. The metric may not resume publication until the full adoption workflow has run with the identified concern addressed.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09 · ADOPTION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2026-04-20T23:18:42.791Z</dcterms:created>
  <dcterms:modified xsi:type="dcterms:W3CDTF">2026-04-20T23:18:42.791Z</dcterms:modified>
</cp:coreProperties>
</file>

<file path=docProps/custom.xml><?xml version="1.0" encoding="utf-8"?>
<Properties xmlns="http://schemas.openxmlformats.org/officeDocument/2006/custom-properties" xmlns:vt="http://schemas.openxmlformats.org/officeDocument/2006/docPropsVTypes"/>
</file>