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10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Risk Register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&amp; Mitigation Matrix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Identified risks to the Metric Catalog and its Missouri pilot, with likelihood, severity, owner, and mitigation path.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Board of Directors · Methodology Board · Funders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OVERVIEW</w:t>
      </w:r>
    </w:p>
    <w:p>
      <w:pPr>
        <w:pStyle w:val="Heading1"/>
      </w:pPr>
      <w:r>
        <w:t xml:space="preserve">Risk Register Structure</w:t>
      </w:r>
    </w:p>
    <w:p>
      <w:pPr>
        <w:spacing w:after="160"/>
      </w:pPr>
      <w:r>
        <w:t xml:space="preserve">The Risk Register identifies known and anticipated risks to the Metric Catalog framework and the Missouri pilot. Each risk entry identifies likelihood (L/M/H), severity (L/M/H), the accountable owner, the primary mitigation strategy, and a contingency in case the mitigation fails. The Register is reviewed quarterly by the Methodology Board and revised at least annually.</w:t>
      </w:r>
    </w:p>
    <w:p>
      <w:pPr>
        <w:spacing w:after="160"/>
      </w:pPr>
      <w:r>
        <w:t xml:space="preserve">Risks are grouped into four categories: Structural (threats to the framework's integrity), Operational (threats to pilot execution), Reputational (threats to stakeholder trust), and External (threats from outside the pilot's control).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CATEGORY I</w:t>
      </w:r>
    </w:p>
    <w:p>
      <w:pPr>
        <w:pStyle w:val="Heading1"/>
      </w:pPr>
      <w:r>
        <w:t xml:space="preserve">Structural Risks</w:t>
      </w:r>
    </w:p>
    <w:p>
      <w:pPr>
        <w:spacing w:after="160"/>
      </w:pPr>
      <w:r>
        <w:t xml:space="preserve">Risks that could compromise the methodological or privacy integrity of the framework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20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L/S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Re-identification incident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Ethics Review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k-anonymity ≥ 10, differential privacy for n&lt;30, quarterly adversarial testing, mandatory suspension on any detected incident.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capture by funder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Chair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20% funder cap, public funder disclosure, rotating chair, no single funder in founding cohort &gt; 15%.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composition drift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Nominating bodies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Staggered terms, constituency-specific nominations, annual composition audit.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Metric gaming by reporting entities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OSCA · Methodology Board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Independent validation sampling, methodology review for new gameable definitions, cross-source reconciliation.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CATEGORY II</w:t>
      </w:r>
    </w:p>
    <w:p>
      <w:pPr>
        <w:pStyle w:val="Heading1"/>
      </w:pPr>
      <w:r>
        <w:t xml:space="preserve">Operational Risks</w:t>
      </w:r>
    </w:p>
    <w:p>
      <w:pPr>
        <w:spacing w:after="160"/>
      </w:pPr>
      <w:r>
        <w:t xml:space="preserve">Risks to executing the pilot on time and within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20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L/S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OSCA MOU delays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Partner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Early engagement, no-authority-required pilot design, parallel track conversations with each pilot circuit.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Pilot circuit non-participation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Partner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Three-circuit redundancy, formal MOU with termination protection, presiding judge early involvement.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De-identification pipeline failure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CTO · Data Ethics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Four-gate pipeline, mandatory QA, independent audit before first publication, incident response runbook.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Key personnel loss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Executive Director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Documented operational procedures, board-level succession planning, cross-training on critical functions.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Budget shortfall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Executive Director · Board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Multi-funder stack, quarterly burn-rate monitoring, 10% contingency line, pre-approved scope-reduction plan.</w:t>
            </w:r>
          </w:p>
        </w:tc>
      </w:tr>
    </w:tbl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CATEGORY III</w:t>
      </w:r>
    </w:p>
    <w:p>
      <w:pPr>
        <w:pStyle w:val="Heading1"/>
      </w:pPr>
      <w:r>
        <w:t xml:space="preserve">Reputational Risks</w:t>
      </w:r>
    </w:p>
    <w:p>
      <w:pPr>
        <w:spacing w:after="160"/>
      </w:pPr>
      <w:r>
        <w:t xml:space="preserve">Risks to stakeholder trust and the framework's continued credibility.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20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L/S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DV advocate withdrawal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Chair · Data Ethics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MOCADSV early and continuous engagement, survivor safety as first review criterion, dedicated Board seat.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Fathers' rights rejection of "one-sided metrics"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Chair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Bilateral measurement by design, dedicated Board seat, methodology board representation.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Judicial independence challenge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Counsel · OSCA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Judge-level data private by design, public materials explicitly exclude judicial ranking, judicial constituency on Board.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Media misinterpretation of aggregate 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primer in every publication, dedicated press FAQ (Doc 18), rapid correction protocol.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Adversarial use in litigation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Evidentiary shield in draft RSMo § 452.317, amicus brief capacity for test cases, defensive posture documentation.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CATEGORY IV</w:t>
      </w:r>
    </w:p>
    <w:p>
      <w:pPr>
        <w:pStyle w:val="Heading1"/>
      </w:pPr>
      <w:r>
        <w:t xml:space="preserve">External Risks</w:t>
      </w:r>
    </w:p>
    <w:p>
      <w:pPr>
        <w:spacing w:after="160"/>
      </w:pPr>
      <w:r>
        <w:t xml:space="preserve">Risks from outside the pilot's direct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20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L/S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Federal or state statutory change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Regulatory monitoring, rapid-response legal review, conservative disclosure posture under any ambiguity.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Competing framework adoption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Executive Director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Open-source methodology release, interoperability commitment, collaboration-first stance with any peer effort.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Political attack on transparency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L/H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Chair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Broad coalition of endorsers, non-partisan framing, fact-based response protocol.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Economic downturn reducing funding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M/M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Executive Director · Board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Diversified funding base, operational efficiency, clear scope-reduction decision tree.</w:t>
            </w:r>
          </w:p>
        </w:tc>
      </w:tr>
    </w:tbl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CONTINGENCY</w:t>
      </w:r>
    </w:p>
    <w:p>
      <w:pPr>
        <w:pStyle w:val="Heading1"/>
      </w:pPr>
      <w:r>
        <w:t xml:space="preserve">What Triggers Scope Reduction</w:t>
      </w:r>
    </w:p>
    <w:p>
      <w:pPr>
        <w:spacing w:after="160"/>
      </w:pPr>
      <w:r>
        <w:t xml:space="preserve">If funding falls below sixty percent of planned budget for two consecutive quarters, or if a pilot circuit withdraws without being replaced within ninety days, the Board triggers a pre-approved scope-reduction sequence: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Freeze new metric adoptions; maintain existing published metrics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publication cadence from quarterly to semi-annual.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Consolidate to two pilot circuits if three cannot be sustained.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Pause Tier C metric publication while maintaining user-facing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none of the above restores sustainability within twelve months, execute graceful wind-down per the Wind-Down Runbook (Appendix).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10 · 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2026-04-20T23:18:42.987Z</dcterms:created>
  <dcterms:modified xsi:type="dcterms:W3CDTF">2026-04-20T23:18:42.987Z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