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rPr>
          <w:b/>
          <w:bCs/>
          <w:color w:val="B8371F"/>
          <w:spacing w:val="60"/>
          <w:sz w:val="18"/>
          <w:szCs w:val="18"/>
        </w:rPr>
        <w:t xml:space="preserve">DOCUMENT 13</w:t>
      </w:r>
    </w:p>
    <w:p>
      <w:pPr>
        <w:spacing w:after="80"/>
      </w:pPr>
      <w:r>
        <w:rPr>
          <w:b/>
          <w:bCs/>
          <w:color w:val="1F2744"/>
          <w:spacing w:val="40"/>
          <w:sz w:val="22"/>
          <w:szCs w:val="22"/>
        </w:rPr>
        <w:t xml:space="preserve">THE FAMILY COURT METRIC CATALOG</w:t>
      </w:r>
    </w:p>
    <w:p>
      <w:pPr>
        <w:spacing w:after="40"/>
      </w:pPr>
      <w:r>
        <w:rPr>
          <w:b/>
          <w:bCs/>
          <w:color w:val="0D1220"/>
          <w:sz w:val="52"/>
          <w:szCs w:val="52"/>
        </w:rPr>
        <w:t xml:space="preserve">Budget Narrative</w:t>
      </w:r>
    </w:p>
    <w:p>
      <w:pPr>
        <w:spacing w:after="240"/>
      </w:pPr>
      <w:r>
        <w:rPr>
          <w:b/>
          <w:bCs/>
          <w:color w:val="0D1220"/>
          <w:sz w:val="52"/>
          <w:szCs w:val="52"/>
        </w:rPr>
        <w:t xml:space="preserve">&amp; Line-Item Schedule</w:t>
      </w:r>
    </w:p>
    <w:p>
      <w:pPr>
        <w:spacing w:after="400"/>
      </w:pPr>
      <w:r>
        <w:rPr>
          <w:color w:val="1F2744"/>
          <w:sz w:val="26"/>
          <w:szCs w:val="26"/>
        </w:rPr>
        <w:t xml:space="preserve">Total 36-month pilot budget of $1,454,510 across five categories, with funding sources and assumptions.</w:t>
      </w:r>
    </w:p>
    <w:p>
      <w:pPr>
        <w:pBdr>
          <w:bottom w:val="single" w:color="0D1220" w:sz="6" w:space="1"/>
        </w:pBdr>
        <w:spacing w:after="120" w:before="120"/>
      </w:pPr>
      <w:r>
        <w:t xml:space="preserve"/>
      </w:r>
    </w:p>
    <w:p>
      <w:pPr>
        <w:spacing w:after="60" w:before="200"/>
      </w:pPr>
      <w:r>
        <w:rPr>
          <w:b/>
          <w:bCs/>
          <w:color w:val="555046"/>
          <w:spacing w:val="40"/>
          <w:sz w:val="16"/>
          <w:szCs w:val="16"/>
        </w:rPr>
        <w:t xml:space="preserve">PREPARED FOR</w:t>
      </w:r>
    </w:p>
    <w:p>
      <w:pPr>
        <w:spacing w:after="120"/>
      </w:pPr>
      <w:r>
        <w:rPr>
          <w:color w:val="0D1220"/>
          <w:sz w:val="24"/>
          <w:szCs w:val="24"/>
        </w:rPr>
        <w:t xml:space="preserve">Funders · Board of Directors</w:t>
      </w:r>
    </w:p>
    <w:p>
      <w:pPr>
        <w:spacing w:before="400"/>
      </w:pPr>
      <w:r>
        <w:rPr>
          <w:b/>
          <w:bCs/>
          <w:color w:val="555046"/>
          <w:spacing w:val="30"/>
          <w:sz w:val="18"/>
          <w:szCs w:val="18"/>
        </w:rPr>
        <w:t xml:space="preserve">Missouri Pilot · Version 0.3 · 2026</w:t>
      </w:r>
    </w:p>
    <w:p>
      <w:pPr>
        <w:spacing w:after="40"/>
      </w:pPr>
      <w:r>
        <w:rPr>
          <w:color w:val="555046"/>
          <w:sz w:val="18"/>
          <w:szCs w:val="18"/>
        </w:rPr>
        <w:t xml:space="preserve">A CoTrackPro Civic Publication</w:t>
      </w:r>
    </w:p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SUMMARY</w:t>
      </w:r>
    </w:p>
    <w:p>
      <w:pPr>
        <w:pStyle w:val="Heading1"/>
      </w:pPr>
      <w:r>
        <w:t xml:space="preserve">Three-Year Budget</w:t>
      </w:r>
    </w:p>
    <w:p>
      <w:pPr>
        <w:spacing w:after="160"/>
      </w:pPr>
      <w:r>
        <w:t xml:space="preserve">The Missouri pilot is budgeted at a total of $1,454,510 over thirty-six months. The budget is deliberately lean. It assumes one full-time executive director, one engineering lead (the current founder takes this role), two part-time contractors at different phases, one part-time methodology coordinator, and the cost of the Methodology Board and Data Ethics Review stipends.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CATEGORY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YEAR 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YEAR 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YEAR 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Personnel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$318,000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$331,000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$345,000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$994,000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Board &amp; Reviews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$42,000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$44,000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$46,000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$132,000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Infrastructure &amp; Ops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$46,500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$48,200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$144,700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Academic Partnerships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$45,000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$45,000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$45,000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$135,000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$15,810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$14,970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$18,030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$48,810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$467,310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$483,170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$504,030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$1,454,510</w:t>
            </w:r>
          </w:p>
        </w:tc>
      </w:tr>
    </w:tbl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PERSONNEL</w:t>
      </w:r>
    </w:p>
    <w:p>
      <w:pPr>
        <w:pStyle w:val="Heading1"/>
      </w:pPr>
      <w:r>
        <w:t xml:space="preserve">Personnel Detail</w:t>
      </w:r>
    </w:p>
    <w:p>
      <w:pPr>
        <w:spacing w:after="160"/>
      </w:pPr>
      <w:r>
        <w:t xml:space="preserve">Personnel costs reflect St. Louis/Missouri market rates for nonprofit civic tech. All positions are US-based, employed through the Platform Partner entity or a fiscal sponsor.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60"/>
        <w:gridCol w:w="1800"/>
        <w:gridCol w:w="180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ROLE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FTE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YEAR 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YEAR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Executive Director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$130,000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$135,000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$141,000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Engineering Lead (Founder)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$95,000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$99,000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$103,000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Methodology Coordinator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$43,000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$45,000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$47,000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Research/Data Analyst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$35,000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$37,000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$39,000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Contract (privacy audit)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$15,000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$15,000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$15,000</w:t>
            </w:r>
          </w:p>
        </w:tc>
      </w:tr>
    </w:tbl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BOARD &amp; REVIEWS</w:t>
      </w:r>
    </w:p>
    <w:p>
      <w:pPr>
        <w:pStyle w:val="Heading1"/>
      </w:pPr>
      <w:r>
        <w:t xml:space="preserve">Methodology Board and Data Ethics Review</w:t>
      </w:r>
    </w:p>
    <w:p>
      <w:pPr>
        <w:spacing w:after="160"/>
      </w:pPr>
      <w:r>
        <w:t xml:space="preserve">Methodology Board members are not compensated for meeting attendance, but receive modest per-meeting honoraria ($500 per quarterly meeting) to enable participation by practitioners and lived-experience members who could not otherwise donate the time. Data Ethics Review members are compensated at $2,000 per completed review to support timely independent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Methodology Board honoraria (11 members × 4 meetings × $500): $22,000 per 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Ethics Review honoraria (5 members × approx. 2 reviews each per year × $2,000): $20,000 per year.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INFRASTRUCTURE &amp; OPS</w:t>
      </w:r>
    </w:p>
    <w:p>
      <w:pPr>
        <w:pStyle w:val="Heading1"/>
      </w:pPr>
      <w:r>
        <w:t xml:space="preserve">Technical and Operational Costs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infrastructure (DynamoDB, Lambda, API Gateway, S3, Cognito, CloudWatch, SSM): $14,000-18,000 per year depending on usage. Estimated at $15,000 Year 1 growing to $17,500 Year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Third-party tools (observability, incident response, legal/compliance): $8,000-10,000 per 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Independent security audit (annual): $12,000.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 and meeting costs (modest): $3,000 per 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(cyber liability $2M, E&amp;O): $8,000 per year.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ACADEMIC PARTNERSHIPS</w:t>
      </w:r>
    </w:p>
    <w:p>
      <w:pPr>
        <w:pStyle w:val="Heading1"/>
      </w:pPr>
      <w:r>
        <w:t xml:space="preserve">Research Collaboration Budget</w:t>
      </w:r>
    </w:p>
    <w:p>
      <w:pPr>
        <w:spacing w:after="160"/>
      </w:pPr>
      <w:r>
        <w:t xml:space="preserve">Each of the three law-school partners (Wash U, Mizzou, Missouri State) receives $15,000 per year for one semester of graduate student research assistance, methodology consultation, and IRB costs. This is not a grant; it is a service contract that requires deliverables: methodology contributions, internal validation studies, and academic publications.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FUNDING SOURCES</w:t>
      </w:r>
    </w:p>
    <w:p>
      <w:pPr>
        <w:pStyle w:val="Heading1"/>
      </w:pPr>
      <w:r>
        <w:t xml:space="preserve">Blended Funding Stack</w:t>
      </w:r>
    </w:p>
    <w:p>
      <w:pPr>
        <w:spacing w:after="160"/>
      </w:pPr>
      <w:r>
        <w:t xml:space="preserve">The pilot is funded from a blended stack that caps any single funder at 20% of the total budget. This cap is enforced regardless of funder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2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SOURCE CATEGORY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TARGET 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AMOUNT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12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20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Philanthropy (access-to-justice funders)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$581,804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Active cultivation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Academic institutional partnerships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$218,177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Contracted at partner level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Individual and community donors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$218,177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CoTrackPro subscription revenue (modest contribution)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$145,451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Existing revenue stream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State (future statutory authorization, after pilot)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0-20%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$0-290,902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 in Phase 1</w:t>
            </w:r>
          </w:p>
        </w:tc>
      </w:tr>
    </w:tbl>
    <w:p>
      <w:r>
        <w:br w:type="page"/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ASSUMPTIONS</w:t>
      </w:r>
    </w:p>
    <w:p>
      <w:pPr>
        <w:pStyle w:val="Heading1"/>
      </w:pPr>
      <w:r>
        <w:t xml:space="preserve">What This Budget Assumes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One executive director hired within three months of funding secured.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additional staff beyond those listed, for the duration of the pilot.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Pilot circuits do not require reimbursement for their participation (MOU structure assumes this).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AWS infrastructure remains within AWS Activate credits for the first six months.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Academic partners provide in-kind contribution (faculty time, IRB infrastructure) in addition to the contracted $15k per year.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litigation expenses budgeted; any test cases would require separate supplemental funding.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Currency assumption: all figures in 2026 US dollars; no inflation adjustment applied to Year 2 or Year 3 beyond 3% general escalation.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Contingency of 10% held in reserve for unanticipated needs; annual review determines release.</w:t>
      </w:r>
    </w:p>
    <w:p>
      <w:pPr>
        <w:spacing w:after="40" w:before="240"/>
      </w:pPr>
      <w:r>
        <w:rPr>
          <w:b/>
          <w:bCs/>
          <w:color w:val="B8371F"/>
          <w:spacing w:val="40"/>
          <w:sz w:val="18"/>
          <w:szCs w:val="18"/>
        </w:rPr>
        <w:t xml:space="preserve">WHAT HAPPENS AT YEAR 3</w:t>
      </w:r>
    </w:p>
    <w:p>
      <w:pPr>
        <w:pStyle w:val="Heading1"/>
      </w:pPr>
      <w:r>
        <w:t xml:space="preserve">Sustainability Planning</w:t>
      </w:r>
    </w:p>
    <w:p>
      <w:pPr>
        <w:spacing w:after="160"/>
      </w:pPr>
      <w:r>
        <w:t xml:space="preserve">The pilot does NOT assume continued grant funding beyond Year 3. Two scenarios are contemplated: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 A: Pilot demonstrates sufficient impact to attract statutory funding, either as a line item in the OSCA budget or through a dedicated civic-tech appropriation. Target: 20% of post-pilot budget from state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 B: Sustained philanthropic interest + growing CoTrackPro subscription revenue + academic contract revenue covers the ongoing costs of maintaining published metrics without new-metric development.</w:t>
      </w:r>
    </w:p>
    <w:p>
      <w:pPr>
        <w:spacing w:after="160"/>
      </w:pPr>
      <w:r>
        <w:t xml:space="preserve">A formal sustainability review occurs at Month 24 of the pilot. If neither scenario is tracking by that point, the Wind-Down Runbook activates to enable graceful transition of the published Catalog to another host organization or to public-domain archive status.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220" w:sz="6" w:space="4"/>
      </w:pBdr>
      <w:tabs>
        <w:tab w:val="center" w:pos="4680"/>
        <w:tab w:val="right" w:pos="9026"/>
      </w:tabs>
    </w:pPr>
    <w:r>
      <w:rPr>
        <w:color w:val="555046"/>
        <w:sz w:val="16"/>
        <w:szCs w:val="16"/>
      </w:rPr>
      <w:t xml:space="preserve">A CoTrackPro Civic Publication</w:t>
    </w:r>
    <w:r>
      <w:t xml:space="preserve">	</w:t>
    </w:r>
    <w:r>
      <w:rPr>
        <w:color w:val="55504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rPr>
        <w:color w:val="555046"/>
        <w:sz w:val="16"/>
        <w:szCs w:val="16"/>
      </w:rPr>
      <w:t xml:space="preserve">v0.3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220" w:sz="6" w:space="4"/>
      </w:pBdr>
      <w:tabs>
        <w:tab w:val="right" w:pos="9026"/>
      </w:tabs>
    </w:pPr>
    <w:r>
      <w:rPr>
        <w:b/>
        <w:bCs/>
        <w:color w:val="0D1220"/>
        <w:spacing w:val="30"/>
        <w:sz w:val="16"/>
        <w:szCs w:val="16"/>
      </w:rPr>
      <w:t xml:space="preserve">FAMILY COURT METRIC CATALOG</w:t>
    </w:r>
    <w:r>
      <w:t xml:space="preserve">	</w:t>
    </w:r>
    <w:r>
      <w:rPr>
        <w:color w:val="555046"/>
        <w:spacing w:val="20"/>
        <w:sz w:val="16"/>
        <w:szCs w:val="16"/>
      </w:rPr>
      <w:t xml:space="preserve">DOC 13 · BUDGET NARRATIVE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2026-04-20T23:18:43.283Z</dcterms:created>
  <dcterms:modified xsi:type="dcterms:W3CDTF">2026-04-20T23:18:43.284Z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